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Сообщение о возможном установлении публичного сервитута</w:t>
      </w:r>
    </w:p>
    <w:tbl>
      <w:tblPr>
        <w:tblStyle w:val="Style_2"/>
        <w:tblInd w:type="dxa" w:w="-601"/>
        <w:tblLayout w:type="fixed"/>
      </w:tblPr>
      <w:tblGrid>
        <w:gridCol w:w="2834"/>
        <w:gridCol w:w="7124"/>
      </w:tblGrid>
      <w:tr>
        <w:tc>
          <w:tcPr>
            <w:tcW w:type="dxa" w:w="2834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7124"/>
          </w:tcPr>
          <w:p w14:paraId="04000000">
            <w:pPr>
              <w:pStyle w:val="Style_3"/>
              <w:spacing w:after="0" w:before="0"/>
              <w:ind/>
              <w:jc w:val="both"/>
            </w:pPr>
            <w:r>
              <w:t>Министерство имущественных и земельных отношений Камчатского края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ели установления публичного сервитута</w:t>
            </w:r>
          </w:p>
        </w:tc>
        <w:tc>
          <w:tcPr>
            <w:tcW w:type="dxa" w:w="7124"/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эксплуатации существующего объекта электросетевого хозяйства регионального значения и его неотъемлемых технологических частей: «</w:t>
            </w:r>
            <w:r>
              <w:rPr>
                <w:rFonts w:ascii="Times New Roman" w:hAnsi="Times New Roman"/>
                <w:sz w:val="24"/>
              </w:rPr>
              <w:t>Сооружение ВЛЭП 35 кВ на мемаллических и деревянных опорах Мильково-Шаромы-Пущино»</w:t>
            </w:r>
            <w:r>
              <w:rPr>
                <w:rFonts w:ascii="Times New Roman" w:hAnsi="Times New Roman"/>
                <w:sz w:val="24"/>
              </w:rPr>
              <w:t>, кадастровый номер объекта 41:06:0030101:443 адрес объекта: Камчатский край, р-н Мильковский, с. Мильково -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с. Шаромы - с. Пущино, </w:t>
            </w:r>
            <w:r>
              <w:rPr>
                <w:rFonts w:ascii="Times New Roman" w:hAnsi="Times New Roman"/>
                <w:sz w:val="24"/>
              </w:rPr>
              <w:t xml:space="preserve">а также в целях </w:t>
            </w:r>
            <w:r>
              <w:rPr>
                <w:rFonts w:ascii="Times New Roman" w:hAnsi="Times New Roman"/>
                <w:sz w:val="24"/>
              </w:rPr>
              <w:t>переоформ</w:t>
            </w:r>
            <w:r>
              <w:rPr>
                <w:rFonts w:ascii="Times New Roman" w:hAnsi="Times New Roman"/>
                <w:sz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</w:rPr>
              <w:t>прав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аренды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земельных участков, расположенных под опорами объекта.</w:t>
            </w:r>
          </w:p>
        </w:tc>
      </w:tr>
      <w:tr>
        <w:tc>
          <w:tcPr>
            <w:tcW w:type="dxa" w:w="2834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дрес или иное описание местоположения земельных участков, в отношении которых и</w:t>
            </w:r>
            <w:r>
              <w:rPr>
                <w:rFonts w:ascii="Times New Roman" w:hAnsi="Times New Roman"/>
                <w:sz w:val="24"/>
              </w:rPr>
              <w:t>спрашивается публичный сервитут</w:t>
            </w:r>
          </w:p>
        </w:tc>
        <w:tc>
          <w:tcPr>
            <w:tcW w:type="dxa" w:w="7124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сервитут устанавливается в отношении земель и земельных участков, расположенных на </w:t>
            </w:r>
            <w:r>
              <w:rPr>
                <w:rFonts w:ascii="Times New Roman" w:hAnsi="Times New Roman"/>
                <w:sz w:val="24"/>
              </w:rPr>
              <w:t xml:space="preserve"> землях и земельных участках </w:t>
            </w:r>
            <w:r>
              <w:rPr>
                <w:rFonts w:ascii="Times New Roman" w:hAnsi="Times New Roman"/>
                <w:sz w:val="24"/>
              </w:rPr>
              <w:t>межселенной территори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Мильков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ого округа, а также с. Мильково, с. Пущино, с. Шаромы.</w:t>
            </w:r>
          </w:p>
        </w:tc>
      </w:tr>
      <w:tr>
        <w:tc>
          <w:tcPr>
            <w:tcW w:type="dxa" w:w="2834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местополо-жения границ публич-ного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/>
                <w:sz w:val="24"/>
              </w:rPr>
              <w:t>установлении публи</w:t>
            </w:r>
            <w:r>
              <w:rPr>
                <w:rFonts w:ascii="Times New Roman" w:hAnsi="Times New Roman"/>
                <w:sz w:val="24"/>
              </w:rPr>
              <w:t>чного сервитута</w:t>
            </w:r>
          </w:p>
        </w:tc>
        <w:tc>
          <w:tcPr>
            <w:tcW w:type="dxa" w:w="7124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муниципального района по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283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фициальные сайты в информационно-телекоммуникационной сети "Интернет", на которых размещается сообщение о поступив-шем </w:t>
            </w:r>
            <w:r>
              <w:rPr>
                <w:rFonts w:ascii="Times New Roman" w:hAnsi="Times New Roman"/>
                <w:sz w:val="24"/>
              </w:rPr>
              <w:t>ходатайстве</w:t>
            </w:r>
            <w:r>
              <w:rPr>
                <w:rFonts w:ascii="Times New Roman" w:hAnsi="Times New Roman"/>
                <w:sz w:val="24"/>
              </w:rPr>
              <w:t xml:space="preserve"> об установлении публичного сервитута</w:t>
            </w:r>
          </w:p>
        </w:tc>
        <w:tc>
          <w:tcPr>
            <w:tcW w:type="dxa" w:w="7124"/>
          </w:tcPr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instrText>HYPERLINK "https://kamgov.ru/"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https://kamgov.ru/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1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</w:rPr>
              <w:t>http://www.milkovoadm.ru/</w:t>
            </w:r>
          </w:p>
        </w:tc>
      </w:tr>
      <w:tr>
        <w:tc>
          <w:tcPr>
            <w:tcW w:type="dxa" w:w="2834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7124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территориального планирования Камчатского края утверждена Постановлением Правительства Камчатского края от 12.12.2022 № 669-П «Об утверждении схемы территориального планирования Камчатского края»</w:t>
            </w:r>
            <w:r>
              <w:rPr>
                <w:rFonts w:ascii="Times New Roman" w:hAnsi="Times New Roman"/>
                <w:sz w:val="24"/>
              </w:rPr>
              <w:t xml:space="preserve"> (далее – Схема ТП Камчатского края)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2834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7124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ТП Камчатского края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писание местоположе</w:t>
            </w:r>
            <w:r>
              <w:rPr>
                <w:rFonts w:ascii="Times New Roman" w:hAnsi="Times New Roman"/>
                <w:sz w:val="24"/>
              </w:rPr>
              <w:t>ния границ публичного сервитута</w:t>
            </w:r>
          </w:p>
        </w:tc>
        <w:tc>
          <w:tcPr>
            <w:tcW w:type="dxa" w:w="7124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</w:t>
            </w:r>
            <w:r>
              <w:rPr>
                <w:rFonts w:ascii="Times New Roman" w:hAnsi="Times New Roman"/>
                <w:sz w:val="24"/>
              </w:rPr>
              <w:t>реестра недвижимости,</w:t>
            </w:r>
            <w:r>
              <w:rPr>
                <w:rFonts w:ascii="Times New Roman" w:hAnsi="Times New Roman"/>
                <w:sz w:val="24"/>
              </w:rPr>
              <w:t xml:space="preserve"> можно скачать по ссылке </w:t>
            </w:r>
            <w:r>
              <w:rPr>
                <w:rFonts w:ascii="Times New Roman" w:hAnsi="Times New Roman"/>
                <w:sz w:val="24"/>
              </w:rPr>
              <w:t>https://disk.yandex.ru/d/d_cyxg_ZaxqxOw</w:t>
            </w:r>
          </w:p>
        </w:tc>
      </w:tr>
      <w:tr>
        <w:tc>
          <w:tcPr>
            <w:tcW w:type="dxa" w:w="2834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7124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41:06:0070101:1313;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41:06:0010113:50;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41:06:0070101:1105;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41:06:0070101:2142;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41:06:0090101:239;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41:06:0060101:57;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150;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190;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192;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305;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310;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313;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314;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354;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41:06:0010120:119;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41:06:0010120:120;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41:06:0080101:13;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41:06:0090101:1306;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41:06:0090101:1515; </w:t>
            </w:r>
            <w:r>
              <w:rPr>
                <w:rFonts w:ascii="Times New Roman" w:hAnsi="Times New Roman"/>
                <w:color w:val="000000"/>
                <w:sz w:val="24"/>
              </w:rPr>
              <w:t>41:06:0090101:1519</w:t>
            </w:r>
          </w:p>
        </w:tc>
      </w:tr>
    </w:tbl>
    <w:p w14:paraId="1D000000">
      <w:pPr>
        <w:rPr>
          <w:rFonts w:ascii="Times New Roman" w:hAnsi="Times New Roman"/>
          <w:sz w:val="24"/>
        </w:rPr>
      </w:pPr>
      <w:bookmarkStart w:id="1" w:name="Par0"/>
      <w:bookmarkEnd w:id="1"/>
    </w:p>
    <w:sectPr>
      <w:footerReference r:id="rId1" w:type="default"/>
      <w:pgSz w:h="16848" w:orient="portrait" w:w="11908"/>
      <w:pgMar w:bottom="567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5_ch"/>
    <w:link w:val="Style_12"/>
  </w:style>
  <w:style w:styleId="Style_13" w:type="paragraph">
    <w:name w:val="ConsPlusNormal"/>
    <w:link w:val="Style_13_ch"/>
    <w:pPr>
      <w:widowControl w:val="0"/>
      <w:spacing w:after="0" w:line="240" w:lineRule="auto"/>
      <w:ind/>
    </w:pPr>
    <w:rPr>
      <w:rFonts w:ascii="Calibri" w:hAnsi="Calibri"/>
    </w:rPr>
  </w:style>
  <w:style w:styleId="Style_13_ch" w:type="character">
    <w:name w:val="ConsPlusNormal"/>
    <w:link w:val="Style_13"/>
    <w:rPr>
      <w:rFonts w:ascii="Calibri" w:hAnsi="Calibri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2025-01-27T04:33:31Z</dcterms:modified>
</cp:coreProperties>
</file>