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Сообщение о возможном установлении публичного сервитута</w:t>
      </w:r>
    </w:p>
    <w:tbl>
      <w:tblPr>
        <w:tblStyle w:val="Style_2"/>
        <w:tblInd w:type="dxa" w:w="-601"/>
        <w:tblLayout w:type="fixed"/>
      </w:tblPr>
      <w:tblGrid>
        <w:gridCol w:w="2834"/>
        <w:gridCol w:w="7124"/>
      </w:tblGrid>
      <w:tr>
        <w:tc>
          <w:tcPr>
            <w:tcW w:type="dxa" w:w="2834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type="dxa" w:w="7124"/>
          </w:tcPr>
          <w:p w14:paraId="04000000">
            <w:pPr>
              <w:pStyle w:val="Style_3"/>
              <w:spacing w:after="0" w:before="0"/>
              <w:ind/>
              <w:jc w:val="both"/>
            </w:pPr>
            <w:r>
              <w:t>Министерство имущественных и земельных отношений Камчатского края</w:t>
            </w:r>
          </w:p>
          <w:p w14:paraId="0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ели установления публичного сервитута</w:t>
            </w:r>
          </w:p>
        </w:tc>
        <w:tc>
          <w:tcPr>
            <w:tcW w:type="dxa" w:w="7124"/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эксплуатации существующего объекта электросетевого хозяйства регионального значения и его неотъемлемых технологических частей: «</w:t>
            </w:r>
            <w:r>
              <w:rPr>
                <w:rFonts w:ascii="Times New Roman" w:hAnsi="Times New Roman"/>
                <w:sz w:val="24"/>
              </w:rPr>
              <w:t>Сооружение ВЛЭП 35 кВ на деревянных опорах»</w:t>
            </w:r>
            <w:r>
              <w:rPr>
                <w:rFonts w:ascii="Times New Roman" w:hAnsi="Times New Roman"/>
                <w:sz w:val="24"/>
              </w:rPr>
              <w:t xml:space="preserve">, кадастровый номер объекта 41:05:0000000:922 адрес объекта: Камчатский край, Елизовский  район, «Николаевка-Паратунка», </w:t>
            </w:r>
            <w:r>
              <w:rPr>
                <w:rFonts w:ascii="Times New Roman" w:hAnsi="Times New Roman"/>
                <w:sz w:val="24"/>
              </w:rPr>
              <w:t xml:space="preserve">а также в целях </w:t>
            </w:r>
            <w:r>
              <w:rPr>
                <w:rFonts w:ascii="Times New Roman" w:hAnsi="Times New Roman"/>
                <w:sz w:val="24"/>
              </w:rPr>
              <w:t>переоформ</w:t>
            </w:r>
            <w:r>
              <w:rPr>
                <w:rFonts w:ascii="Times New Roman" w:hAnsi="Times New Roman"/>
                <w:sz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</w:rPr>
              <w:t>прав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аренды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земельных участков, расположенных под опорами объекта.</w:t>
            </w:r>
          </w:p>
        </w:tc>
      </w:tr>
      <w:tr>
        <w:tc>
          <w:tcPr>
            <w:tcW w:type="dxa" w:w="2834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дрес или иное описание местоположения земельных участков, в отношении которых и</w:t>
            </w:r>
            <w:r>
              <w:rPr>
                <w:rFonts w:ascii="Times New Roman" w:hAnsi="Times New Roman"/>
                <w:sz w:val="24"/>
              </w:rPr>
              <w:t>спрашивается публичный сервитут</w:t>
            </w:r>
          </w:p>
        </w:tc>
        <w:tc>
          <w:tcPr>
            <w:tcW w:type="dxa" w:w="7124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Публичный сервитут устанавливается в отношении земель и земельных участков, расположенных на межселенной территори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Елизов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 xml:space="preserve">ого района, а также на землях и земельных участках Николаевского сельского поселения,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с. Николаевка,   и   Паратуского  сельского  поселения,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с.  Паратунка</w:t>
            </w:r>
          </w:p>
        </w:tc>
      </w:tr>
      <w:tr>
        <w:tc>
          <w:tcPr>
            <w:tcW w:type="dxa" w:w="2834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</w:t>
            </w:r>
            <w:r>
              <w:rPr>
                <w:rFonts w:ascii="Times New Roman" w:hAnsi="Times New Roman"/>
                <w:sz w:val="24"/>
              </w:rPr>
              <w:t>установлении публи</w:t>
            </w:r>
            <w:r>
              <w:rPr>
                <w:rFonts w:ascii="Times New Roman" w:hAnsi="Times New Roman"/>
                <w:sz w:val="24"/>
              </w:rPr>
              <w:t>чного сервитута</w:t>
            </w:r>
          </w:p>
        </w:tc>
        <w:tc>
          <w:tcPr>
            <w:tcW w:type="dxa" w:w="7124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/>
                <w:sz w:val="24"/>
              </w:rPr>
              <w:t>ул. Пограничная, д</w:t>
            </w:r>
            <w:r>
              <w:rPr>
                <w:rFonts w:ascii="Times New Roman" w:hAnsi="Times New Roman"/>
                <w:sz w:val="24"/>
              </w:rPr>
              <w:t xml:space="preserve">. 19, </w:t>
            </w: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>. 412.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приёма для ознакомления с поступивши</w:t>
            </w:r>
            <w:r>
              <w:rPr>
                <w:rFonts w:ascii="Times New Roman" w:hAnsi="Times New Roman"/>
                <w:sz w:val="24"/>
              </w:rPr>
              <w:t>м ходатайством об установлении публичного сервитута: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рабочие дни с 10-00 до 12-30, с 14-00 до 17-00.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заявлений: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муниципального района по ме</w:t>
            </w:r>
            <w:r>
              <w:rPr>
                <w:rFonts w:ascii="Times New Roman" w:hAnsi="Times New Roman"/>
                <w:sz w:val="24"/>
              </w:rPr>
              <w:t>сту нахождения земельного участка и (или) земель, в отношении которых подано поступившее ходатайство об установлении публичного сервитута.</w:t>
            </w:r>
          </w:p>
        </w:tc>
      </w:tr>
      <w:tr>
        <w:tc>
          <w:tcPr>
            <w:tcW w:type="dxa" w:w="2834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фициальные сайты в информационно-телекоммуникационной сети "Интернет", на которых размещается сообщение о поступившем </w:t>
            </w:r>
            <w:r>
              <w:rPr>
                <w:rFonts w:ascii="Times New Roman" w:hAnsi="Times New Roman"/>
                <w:sz w:val="24"/>
              </w:rPr>
              <w:t>ходатайстве</w:t>
            </w:r>
            <w:r>
              <w:rPr>
                <w:rFonts w:ascii="Times New Roman" w:hAnsi="Times New Roman"/>
                <w:sz w:val="24"/>
              </w:rPr>
              <w:t xml:space="preserve"> об установлении публичного сервитута</w:t>
            </w:r>
          </w:p>
        </w:tc>
        <w:tc>
          <w:tcPr>
            <w:tcW w:type="dxa" w:w="7124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https://elizovomr.ru/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</w:tr>
      <w:tr>
        <w:tc>
          <w:tcPr>
            <w:tcW w:type="dxa" w:w="2834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</w:t>
            </w:r>
            <w:r>
              <w:rPr>
                <w:rFonts w:ascii="Times New Roman" w:hAnsi="Times New Roman"/>
                <w:sz w:val="24"/>
              </w:rPr>
              <w:t>тановлении публичного сервитута</w:t>
            </w:r>
          </w:p>
        </w:tc>
        <w:tc>
          <w:tcPr>
            <w:tcW w:type="dxa" w:w="7124"/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территориального планирования Камчатского края утверждена Постановлением Правительства Камчатского края от 12.12.2022 № 669-П «Об утверждении схемы территориального планирования Камчатского края»</w:t>
            </w:r>
            <w:r>
              <w:rPr>
                <w:rFonts w:ascii="Times New Roman" w:hAnsi="Times New Roman"/>
                <w:sz w:val="24"/>
              </w:rPr>
              <w:t xml:space="preserve"> (далее – Схема ТП Камчатского края)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2834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</w:t>
            </w:r>
            <w:r>
              <w:rPr>
                <w:rFonts w:ascii="Times New Roman" w:hAnsi="Times New Roman"/>
                <w:sz w:val="24"/>
              </w:rPr>
              <w:t>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type="dxa" w:w="7124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ТП Камчатского края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https://fgistp.economy.gov.ru/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писание местоположе</w:t>
            </w:r>
            <w:r>
              <w:rPr>
                <w:rFonts w:ascii="Times New Roman" w:hAnsi="Times New Roman"/>
                <w:sz w:val="24"/>
              </w:rPr>
              <w:t>ния границ публичного сервитута</w:t>
            </w:r>
          </w:p>
        </w:tc>
        <w:tc>
          <w:tcPr>
            <w:tcW w:type="dxa" w:w="7124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недвижимости,</w:t>
            </w:r>
            <w:r>
              <w:rPr>
                <w:rFonts w:ascii="Times New Roman" w:hAnsi="Times New Roman"/>
                <w:sz w:val="24"/>
              </w:rPr>
              <w:t xml:space="preserve"> можно скачать по ссылке </w:t>
            </w:r>
            <w:r>
              <w:t>https://disk.yandex.ru/d/45Oi0ZNnqHuitA</w:t>
            </w:r>
          </w:p>
        </w:tc>
      </w:tr>
      <w:tr>
        <w:tc>
          <w:tcPr>
            <w:tcW w:type="dxa" w:w="2834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type="dxa" w:w="7124"/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26;  </w:t>
            </w: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2;  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78;  </w:t>
            </w: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79;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41:05:0101103:1246;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41:05:0101096:151;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41:05:0101012:1862;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41:05:0101012:1863;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41:05:0101093:260;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41:05:0101093:399;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41:05:0101093:545;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41:05:0101093:546;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41:05:0101097:1;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41:05:0101097:237;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41:05:0101097:247;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41:05:0101097:277;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41:05:0101097:283;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41:05:0000000:1865;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41:05:0000000:1918;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41:05:0000000:2110;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41:05:0000000:2111;         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41:05:0101095:37;            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41:05:0101095:56</w:t>
            </w:r>
          </w:p>
        </w:tc>
      </w:tr>
    </w:tbl>
    <w:p w14:paraId="1E000000">
      <w:pPr>
        <w:rPr>
          <w:rFonts w:ascii="Times New Roman" w:hAnsi="Times New Roman"/>
          <w:sz w:val="24"/>
        </w:rPr>
      </w:pPr>
      <w:bookmarkStart w:id="2" w:name="Par0"/>
      <w:bookmarkEnd w:id="2"/>
    </w:p>
    <w:sectPr>
      <w:footerReference r:id="rId1" w:type="default"/>
      <w:pgSz w:h="16848" w:orient="portrait" w:w="11908"/>
      <w:pgMar w:bottom="850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ConsPlusNormal"/>
    <w:link w:val="Style_8_ch"/>
    <w:pPr>
      <w:widowControl w:val="0"/>
      <w:spacing w:after="0" w:line="240" w:lineRule="auto"/>
      <w:ind/>
    </w:pPr>
    <w:rPr>
      <w:rFonts w:ascii="Calibri" w:hAnsi="Calibri"/>
    </w:rPr>
  </w:style>
  <w:style w:styleId="Style_8_ch" w:type="character">
    <w:name w:val="ConsPlusNormal"/>
    <w:link w:val="Style_8"/>
    <w:rPr>
      <w:rFonts w:ascii="Calibri" w:hAnsi="Calibri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header"/>
    <w:basedOn w:val="Style_4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4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2025-01-27T02:32:50Z</dcterms:modified>
</cp:coreProperties>
</file>