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Сообщение о возможном установлении публичного сервитута</w:t>
      </w:r>
    </w:p>
    <w:tbl>
      <w:tblPr>
        <w:tblStyle w:val="Style_2"/>
        <w:tblInd w:type="dxa" w:w="-601"/>
        <w:tblLayout w:type="fixed"/>
      </w:tblPr>
      <w:tblGrid>
        <w:gridCol w:w="2834"/>
        <w:gridCol w:w="7124"/>
      </w:tblGrid>
      <w:tr>
        <w:tc>
          <w:tcPr>
            <w:tcW w:type="dxa" w:w="283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7124"/>
          </w:tcPr>
          <w:p w14:paraId="04000000">
            <w:pPr>
              <w:pStyle w:val="Style_3"/>
              <w:spacing w:after="0" w:before="0"/>
              <w:ind/>
              <w:jc w:val="both"/>
            </w:pPr>
            <w:r>
              <w:t>Министерство имущественных и земельных отношений Камчатского края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ели установления публичного сервитута</w:t>
            </w:r>
          </w:p>
        </w:tc>
        <w:tc>
          <w:tcPr>
            <w:tcW w:type="dxa" w:w="7124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эксплуатации существующего объекта электросетевого хозяйства регионального значения и его неотъемлемых технологических частей: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Сооружение ВЛЭП 35 КВ на деревянных опорах»</w:t>
            </w:r>
            <w:r>
              <w:rPr>
                <w:rFonts w:ascii="Times New Roman" w:hAnsi="Times New Roman"/>
                <w:sz w:val="24"/>
              </w:rPr>
              <w:t xml:space="preserve">, кадастровый номер объекта 41:05:0000000:1350, адрес объекта: Камчатский край, р-н Елизовский, от П/СТ «Елизово» до П/СТ </w:t>
            </w:r>
            <w:r>
              <w:rPr>
                <w:rFonts w:ascii="Times New Roman" w:hAnsi="Times New Roman"/>
                <w:sz w:val="24"/>
              </w:rPr>
              <w:t>«Коряки»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а также в целях </w:t>
            </w:r>
            <w:r>
              <w:rPr>
                <w:rFonts w:ascii="Times New Roman" w:hAnsi="Times New Roman"/>
                <w:sz w:val="24"/>
              </w:rPr>
              <w:t>переоформ</w:t>
            </w:r>
            <w:r>
              <w:rPr>
                <w:rFonts w:ascii="Times New Roman" w:hAnsi="Times New Roman"/>
                <w:sz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</w:rPr>
              <w:t>прав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аренды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земельных участков, расположенных под опорами объекта.</w:t>
            </w:r>
          </w:p>
        </w:tc>
      </w:tr>
      <w:tr>
        <w:tc>
          <w:tcPr>
            <w:tcW w:type="dxa" w:w="2834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дрес или иное описание местоположения земельных участков, в отношении которых и</w:t>
            </w:r>
            <w:r>
              <w:rPr>
                <w:rFonts w:ascii="Times New Roman" w:hAnsi="Times New Roman"/>
                <w:sz w:val="24"/>
              </w:rPr>
              <w:t>спрашивается публичный сервитут</w:t>
            </w:r>
          </w:p>
        </w:tc>
        <w:tc>
          <w:tcPr>
            <w:tcW w:type="dxa" w:w="7124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Публичный сервитут устанавливается в отношении земель и земельных участков, расположенных на межселенной территори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Елизов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района, а также на землях и земельных участках Елизовского городского поселения,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г. Елизово</w:t>
            </w:r>
            <w:r>
              <w:rPr>
                <w:rFonts w:ascii="Times New Roman" w:hAnsi="Times New Roman"/>
                <w:sz w:val="24"/>
              </w:rPr>
              <w:t xml:space="preserve">, и Корякского сельского поселения, </w:t>
            </w:r>
            <w:r>
              <w:rPr>
                <w:rFonts w:ascii="Times New Roman" w:hAnsi="Times New Roman"/>
                <w:sz w:val="24"/>
              </w:rPr>
              <w:t>с. Коряки</w:t>
            </w:r>
          </w:p>
        </w:tc>
      </w:tr>
      <w:tr>
        <w:tc>
          <w:tcPr>
            <w:tcW w:type="dxa" w:w="2834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/>
                <w:sz w:val="24"/>
              </w:rPr>
              <w:t>установлении публи</w:t>
            </w:r>
            <w:r>
              <w:rPr>
                <w:rFonts w:ascii="Times New Roman" w:hAnsi="Times New Roman"/>
                <w:sz w:val="24"/>
              </w:rPr>
              <w:t>чного сервитута</w:t>
            </w:r>
          </w:p>
        </w:tc>
        <w:tc>
          <w:tcPr>
            <w:tcW w:type="dxa" w:w="7124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муниципального района по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283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фициальные сайты в информационно-телекоммуникационной сети "Интернет", на которых размещается сообщение о поступившем </w:t>
            </w:r>
            <w:r>
              <w:rPr>
                <w:rFonts w:ascii="Times New Roman" w:hAnsi="Times New Roman"/>
                <w:sz w:val="24"/>
              </w:rPr>
              <w:t>ходатайстве</w:t>
            </w:r>
            <w:r>
              <w:rPr>
                <w:rFonts w:ascii="Times New Roman" w:hAnsi="Times New Roman"/>
                <w:sz w:val="24"/>
              </w:rPr>
              <w:t xml:space="preserve"> об установлении публичного сервитута</w:t>
            </w:r>
          </w:p>
        </w:tc>
        <w:tc>
          <w:tcPr>
            <w:tcW w:type="dxa" w:w="7124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"https://elizovomr.ru/"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https://elizovomr.ru/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http://admelizovo.ru/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4000000">
            <w:pPr>
              <w:rPr>
                <w:rFonts w:ascii="Times New Roman" w:hAnsi="Times New Roman"/>
                <w:sz w:val="24"/>
              </w:rPr>
            </w:pPr>
          </w:p>
          <w:p w14:paraId="15000000">
            <w:pPr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</w:tr>
      <w:tr>
        <w:tc>
          <w:tcPr>
            <w:tcW w:type="dxa" w:w="2834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7124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территориального планирования Камчатского края утверждена Постановлением Правительства Камчатского края от 12.12.2022 № 669-П «Об утверждении схемы территориального планирования Камчатского края»</w:t>
            </w:r>
            <w:r>
              <w:rPr>
                <w:rFonts w:ascii="Times New Roman" w:hAnsi="Times New Roman"/>
                <w:sz w:val="24"/>
              </w:rPr>
              <w:t xml:space="preserve"> (далее – Схема ТП Камчатского края)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834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7124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ТП Камчатского края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писание местоположе</w:t>
            </w:r>
            <w:r>
              <w:rPr>
                <w:rFonts w:ascii="Times New Roman" w:hAnsi="Times New Roman"/>
                <w:sz w:val="24"/>
              </w:rPr>
              <w:t>ния границ публичного сервитута</w:t>
            </w:r>
          </w:p>
        </w:tc>
        <w:tc>
          <w:tcPr>
            <w:tcW w:type="dxa" w:w="7124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недвижимости,</w:t>
            </w:r>
            <w:r>
              <w:rPr>
                <w:rFonts w:ascii="Times New Roman" w:hAnsi="Times New Roman"/>
                <w:sz w:val="24"/>
              </w:rPr>
              <w:t xml:space="preserve"> можно скачать по ссылке </w:t>
            </w:r>
            <w:r>
              <w:t>https://disk.yandex.ru/d/MEg_Ya5NG0hwCg</w:t>
            </w:r>
          </w:p>
        </w:tc>
      </w:tr>
      <w:tr>
        <w:tc>
          <w:tcPr>
            <w:tcW w:type="dxa" w:w="2834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7124"/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79;  </w:t>
            </w: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4;  </w:t>
            </w: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77;  </w:t>
            </w: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74; </w:t>
            </w: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78; </w:t>
            </w:r>
            <w:r>
              <w:rPr>
                <w:rFonts w:ascii="Times New Roman" w:hAnsi="Times New Roman"/>
                <w:sz w:val="22"/>
              </w:rPr>
              <w:t>41:05:0000000: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63;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41:05:0101008:114;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41:05:0101008:2545;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41:05:0101008:2557;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41:05:0101008:2558;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41:05:0101008:2559;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41:05:0101008:2560;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41:05:0101008:3269;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41:05:0101008:3422;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41:05:0101008:4662;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41:05:0101008:91;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41:05:0101005:127;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41:05:0101005:2184;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41:05:0101005:264;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41:05:0101002:132;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41:05:0101002:133;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41:05:0101002:167;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41:05:0101002:168;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41:05:0101002:171;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41:05:0101002:214;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41:05:0101002:220;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41:05:0101002:260;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41:05:0101002:3534;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41:05:0101002:400;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41:05:0101002:47;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41:05:0101002:48;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41:05:0101002:56;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41:05:0101002:60;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41:05:0101030:10;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41:05:0101030:13;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41:05:0101030:14;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41:05:0101030:18;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41:05:0101030:626;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41:05:0101012:195;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41:05:0101064:1998;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41:05:0101064:2184; </w:t>
            </w:r>
            <w:r>
              <w:rPr>
                <w:rFonts w:ascii="Times New Roman" w:hAnsi="Times New Roman"/>
                <w:sz w:val="22"/>
              </w:rPr>
              <w:t xml:space="preserve">41:05:0000000:1684; </w:t>
            </w:r>
            <w:r>
              <w:rPr>
                <w:rFonts w:ascii="Times New Roman" w:hAnsi="Times New Roman"/>
                <w:sz w:val="22"/>
              </w:rPr>
              <w:t xml:space="preserve">41:05:0000000:1691; </w:t>
            </w:r>
            <w:r>
              <w:rPr>
                <w:rFonts w:ascii="Times New Roman" w:hAnsi="Times New Roman"/>
                <w:sz w:val="22"/>
              </w:rPr>
              <w:t xml:space="preserve">41:05:0000000:1719; </w:t>
            </w:r>
            <w:r>
              <w:rPr>
                <w:rFonts w:ascii="Times New Roman" w:hAnsi="Times New Roman"/>
                <w:sz w:val="22"/>
              </w:rPr>
              <w:t xml:space="preserve">41:05:0000000:62;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41:05:0101031:87;              </w:t>
            </w:r>
            <w:r>
              <w:rPr>
                <w:rFonts w:ascii="Times New Roman" w:hAnsi="Times New Roman"/>
                <w:color w:val="000000"/>
                <w:sz w:val="22"/>
              </w:rPr>
              <w:t>41:05:0101063:723</w:t>
            </w:r>
          </w:p>
        </w:tc>
      </w:tr>
    </w:tbl>
    <w:p w14:paraId="21000000">
      <w:pPr>
        <w:rPr>
          <w:rFonts w:ascii="Times New Roman" w:hAnsi="Times New Roman"/>
          <w:sz w:val="24"/>
        </w:rPr>
      </w:pPr>
      <w:bookmarkStart w:id="2" w:name="Par0"/>
      <w:bookmarkEnd w:id="2"/>
    </w:p>
    <w:sectPr>
      <w:footerReference r:id="rId1" w:type="default"/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pPr>
      <w:widowControl w:val="0"/>
      <w:spacing w:after="0" w:line="240" w:lineRule="auto"/>
      <w:ind/>
    </w:pPr>
    <w:rPr>
      <w:rFonts w:ascii="Calibri" w:hAnsi="Calibri"/>
    </w:rPr>
  </w:style>
  <w:style w:styleId="Style_12_ch" w:type="character">
    <w:name w:val="ConsPlusNormal"/>
    <w:link w:val="Style_12"/>
    <w:rPr>
      <w:rFonts w:ascii="Calibri" w:hAnsi="Calibri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5_ch"/>
    <w:link w:val="Style_15"/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2025-01-27T02:35:41Z</dcterms:modified>
</cp:coreProperties>
</file>