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Сообщение о возможном установлении публичного сервитута</w:t>
      </w:r>
    </w:p>
    <w:tbl>
      <w:tblPr>
        <w:tblStyle w:val="Style_2"/>
        <w:tblW w:type="auto" w:w="0"/>
        <w:tblInd w:type="dxa" w:w="-601"/>
        <w:tblLayout w:type="fixed"/>
      </w:tblPr>
      <w:tblGrid>
        <w:gridCol w:w="3999"/>
        <w:gridCol w:w="5959"/>
      </w:tblGrid>
      <w:tr>
        <w:tc>
          <w:tcPr>
            <w:tcW w:type="dxa" w:w="3999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5959"/>
          </w:tcPr>
          <w:p w14:paraId="0400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Министерство имущественных и земельных отношений Камчатского края </w:t>
            </w:r>
          </w:p>
          <w:p w14:paraId="05000000">
            <w:pPr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rPr>
          <w:trHeight w:hRule="atLeast" w:val="751"/>
        </w:trPr>
        <w:tc>
          <w:tcPr>
            <w:tcW w:type="dxa" w:w="3999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Цели установления </w:t>
            </w:r>
            <w:r>
              <w:rPr>
                <w:rFonts w:ascii="Times New Roman" w:hAnsi="Times New Roman"/>
                <w:sz w:val="24"/>
              </w:rPr>
              <w:t>публичного сервитута</w:t>
            </w:r>
          </w:p>
        </w:tc>
        <w:tc>
          <w:tcPr>
            <w:tcW w:type="dxa" w:w="5959"/>
          </w:tcPr>
          <w:p w14:paraId="0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Cтроительство линий и сооружений связи – волоконно-оптической линии связи (ВОЛС) «Лесная-Оссора»</w:t>
            </w:r>
          </w:p>
        </w:tc>
      </w:tr>
      <w:tr>
        <w:trPr>
          <w:trHeight w:hRule="atLeast" w:val="1309"/>
        </w:trPr>
        <w:tc>
          <w:tcPr>
            <w:tcW w:type="dxa" w:w="3999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или иное описание местоположения земельного участка (участков), в отношении которо</w:t>
            </w:r>
            <w:r>
              <w:rPr>
                <w:rFonts w:ascii="Times New Roman" w:hAnsi="Times New Roman"/>
                <w:sz w:val="24"/>
              </w:rPr>
              <w:t>го испрашивается публичный сервитут</w:t>
            </w:r>
          </w:p>
        </w:tc>
        <w:tc>
          <w:tcPr>
            <w:tcW w:type="dxa" w:w="5959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сервитут устанавливается в отношении земель и земельных у</w:t>
            </w:r>
            <w:r>
              <w:rPr>
                <w:rFonts w:ascii="Times New Roman" w:hAnsi="Times New Roman"/>
                <w:sz w:val="24"/>
              </w:rPr>
              <w:t>ча</w:t>
            </w:r>
            <w:r>
              <w:rPr>
                <w:rFonts w:ascii="Times New Roman" w:hAnsi="Times New Roman"/>
                <w:sz w:val="24"/>
              </w:rPr>
              <w:t>стков, расположенных на территори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Карагинского</w:t>
            </w:r>
            <w:r>
              <w:rPr>
                <w:rFonts w:ascii="Times New Roman" w:hAnsi="Times New Roman"/>
                <w:sz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</w:rPr>
              <w:t>ого района</w:t>
            </w:r>
          </w:p>
        </w:tc>
      </w:tr>
      <w:tr>
        <w:tc>
          <w:tcPr>
            <w:tcW w:type="dxa" w:w="3999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</w:t>
            </w:r>
            <w:r>
              <w:rPr>
                <w:rFonts w:ascii="Times New Roman" w:hAnsi="Times New Roman"/>
                <w:sz w:val="24"/>
              </w:rPr>
              <w:t>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type="dxa" w:w="5959"/>
          </w:tcPr>
          <w:p w14:paraId="0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амч</w:t>
            </w:r>
            <w:r>
              <w:rPr>
                <w:rFonts w:ascii="Times New Roman" w:hAnsi="Times New Roman"/>
                <w:sz w:val="24"/>
              </w:rPr>
              <w:t xml:space="preserve">атский край, г. Петропавловск-Камчатский, 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</w:t>
            </w:r>
            <w:r>
              <w:rPr>
                <w:rFonts w:ascii="Times New Roman" w:hAnsi="Times New Roman"/>
                <w:sz w:val="24"/>
              </w:rPr>
              <w:t>убликования (обнародования) правовых актов</w:t>
            </w:r>
            <w:r>
              <w:rPr>
                <w:rFonts w:ascii="Times New Roman" w:hAnsi="Times New Roman"/>
                <w:sz w:val="24"/>
              </w:rPr>
              <w:t xml:space="preserve"> поселе</w:t>
            </w:r>
            <w:r>
              <w:rPr>
                <w:rFonts w:ascii="Times New Roman" w:hAnsi="Times New Roman"/>
                <w:sz w:val="24"/>
              </w:rPr>
              <w:t xml:space="preserve">ния, городского округа, </w:t>
            </w:r>
            <w:r>
              <w:rPr>
                <w:rFonts w:ascii="Times New Roman" w:hAnsi="Times New Roman"/>
                <w:sz w:val="24"/>
              </w:rPr>
              <w:t>муниципального района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3999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"https://kamgov.ru/"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</w:t>
            </w:r>
            <w:r>
              <w:rPr>
                <w:rStyle w:val="Style_5_ch"/>
                <w:rFonts w:ascii="Times New Roman" w:hAnsi="Times New Roman"/>
                <w:sz w:val="24"/>
              </w:rPr>
              <w:t>ps://k</w:t>
            </w:r>
            <w:r>
              <w:rPr>
                <w:rStyle w:val="Style_5_ch"/>
                <w:rFonts w:ascii="Times New Roman" w:hAnsi="Times New Roman"/>
                <w:sz w:val="24"/>
              </w:rPr>
              <w:t>amgov.ru/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"http://карагинский.рф/"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http://карагинский.рф/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Государственная программа Камчатского края «Цифровая трансформация в Камчатском крае», утвержд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ена постановлением Правительства Камчатского края от 23.12.2021 года № 575-П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.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</w:rPr>
              <w:t>Распоряжение Правительства Камчатского края № 658-РП от 29.12.2021 «Об утверждении Плана реализации государственной программы Камчатского края «Цифровая трансформация в Камчатском крае» на 2022 год и на плановый период 2023 и 2024 годов.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0"/>
                <w:color w:val="000000"/>
                <w:sz w:val="24"/>
                <w:shd w:fill="FFD821" w:val="clear"/>
              </w:rPr>
            </w:pP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5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https://digital.kamgov.ru/gosudarstvennaa-programma-kamcatskogo-kraa-cifrovaa-transformacia-v-kamcatskom-krae-1176</w:t>
            </w:r>
          </w:p>
        </w:tc>
      </w:tr>
      <w:tr>
        <w:tc>
          <w:tcPr>
            <w:tcW w:type="dxa" w:w="3999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местоположения границ публичного сервитута</w:t>
            </w:r>
          </w:p>
        </w:tc>
        <w:tc>
          <w:tcPr>
            <w:tcW w:type="dxa" w:w="5959"/>
          </w:tcPr>
          <w:p w14:paraId="1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Подготовленные в </w:t>
            </w:r>
            <w:r>
              <w:rPr>
                <w:rFonts w:ascii="Times New Roman" w:hAnsi="Times New Roman"/>
                <w:sz w:val="24"/>
              </w:rPr>
              <w:t>форме электронного документа сведения о границах</w:t>
            </w:r>
            <w:r>
              <w:rPr>
                <w:rFonts w:ascii="Times New Roman" w:hAnsi="Times New Roman"/>
                <w:sz w:val="24"/>
              </w:rPr>
              <w:t xml:space="preserve"> публичного сервитута, включающие графическое описание местоположения границ публичного сервитута и переч</w:t>
            </w:r>
            <w:r>
              <w:rPr>
                <w:rFonts w:ascii="Times New Roman" w:hAnsi="Times New Roman"/>
                <w:sz w:val="24"/>
              </w:rPr>
              <w:t>ень координат характерных точек этих границ</w:t>
            </w:r>
            <w:r>
              <w:rPr>
                <w:rFonts w:ascii="Times New Roman" w:hAnsi="Times New Roman"/>
                <w:sz w:val="24"/>
              </w:rPr>
              <w:t xml:space="preserve"> в системе координат, установленной для ведени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я Единого госу</w:t>
            </w:r>
            <w:r>
              <w:rPr>
                <w:rFonts w:ascii="Times New Roman" w:hAnsi="Times New Roman"/>
                <w:sz w:val="24"/>
              </w:rPr>
              <w:t xml:space="preserve">дарственного реестра недвижимости </w:t>
            </w:r>
            <w:r>
              <w:rPr>
                <w:rFonts w:ascii="Times New Roman" w:hAnsi="Times New Roman"/>
                <w:sz w:val="24"/>
              </w:rPr>
              <w:t>прилагаются</w:t>
            </w:r>
          </w:p>
        </w:tc>
      </w:tr>
      <w:tr>
        <w:tc>
          <w:tcPr>
            <w:tcW w:type="dxa" w:w="3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5959"/>
            <w:vAlign w:val="center"/>
          </w:tcPr>
          <w:p w14:paraId="20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1000000">
      <w:pPr>
        <w:rPr>
          <w:rFonts w:ascii="Times New Roman" w:hAnsi="Times New Roman"/>
          <w:sz w:val="24"/>
          <w:shd w:fill="FFD821" w:val="clear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567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аголовок 5 Знак"/>
    <w:link w:val="Style_15_ch"/>
    <w:rPr>
      <w:rFonts w:ascii="XO Thames" w:hAnsi="XO Thames"/>
      <w:b w:val="1"/>
      <w:sz w:val="22"/>
    </w:rPr>
  </w:style>
  <w:style w:styleId="Style_15_ch" w:type="character">
    <w:name w:val="Заголовок 5 Знак"/>
    <w:link w:val="Style_15"/>
    <w:rPr>
      <w:rFonts w:ascii="XO Thames" w:hAnsi="XO Thames"/>
      <w:b w:val="1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1"/>
    <w:basedOn w:val="Style_10"/>
    <w:link w:val="Style_18_ch"/>
    <w:rPr>
      <w:color w:themeColor="hyperlink" w:val="0000FF"/>
      <w:u w:val="single"/>
    </w:rPr>
  </w:style>
  <w:style w:styleId="Style_18_ch" w:type="character">
    <w:name w:val="Гиперссылка1"/>
    <w:basedOn w:val="Style_10_ch"/>
    <w:link w:val="Style_18"/>
    <w:rPr>
      <w:color w:themeColor="hyperlink" w:val="0000FF"/>
      <w:u w:val="single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Normal"/>
    <w:link w:val="Style_29_ch"/>
    <w:pPr>
      <w:widowControl w:val="0"/>
      <w:spacing w:after="0" w:line="240" w:lineRule="auto"/>
      <w:ind/>
    </w:pPr>
    <w:rPr>
      <w:rFonts w:ascii="Calibri" w:hAnsi="Calibri"/>
    </w:rPr>
  </w:style>
  <w:style w:styleId="Style_29_ch" w:type="character">
    <w:name w:val="ConsPlusNormal"/>
    <w:link w:val="Style_29"/>
    <w:rPr>
      <w:rFonts w:ascii="Calibri" w:hAnsi="Calibri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header"/>
    <w:basedOn w:val="Style_4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4_ch"/>
    <w:link w:val="Style_31"/>
  </w:style>
  <w:style w:styleId="Style_2" w:type="table">
    <w:name w:val="Table Grid"/>
    <w:basedOn w:val="Style_3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2024-07-24T08:17:39Z</dcterms:modified>
</cp:coreProperties>
</file>