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Сообщение о возможном установлении публичного сервитута</w:t>
      </w:r>
    </w:p>
    <w:tbl>
      <w:tblPr>
        <w:tblStyle w:val="Style_2"/>
        <w:tblW w:type="auto" w:w="0"/>
        <w:tblInd w:type="dxa" w:w="-601"/>
        <w:tblLayout w:type="fixed"/>
      </w:tblPr>
      <w:tblGrid>
        <w:gridCol w:w="3999"/>
        <w:gridCol w:w="5959"/>
      </w:tblGrid>
      <w:tr>
        <w:tc>
          <w:tcPr>
            <w:tcW w:type="dxa" w:w="3999"/>
          </w:tcPr>
          <w:p w14:paraId="0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type="dxa" w:w="5959"/>
          </w:tcPr>
          <w:p w14:paraId="0400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Министерство имущественных и земельных отношений Камчатского края </w:t>
            </w:r>
          </w:p>
          <w:p w14:paraId="05000000">
            <w:pPr>
              <w:rPr>
                <w:rFonts w:ascii="Times New Roman" w:hAnsi="Times New Roman"/>
                <w:sz w:val="24"/>
                <w:shd w:fill="FFD821" w:val="clear"/>
              </w:rPr>
            </w:pPr>
          </w:p>
        </w:tc>
      </w:tr>
      <w:tr>
        <w:trPr>
          <w:trHeight w:hRule="atLeast" w:val="751"/>
        </w:trPr>
        <w:tc>
          <w:tcPr>
            <w:tcW w:type="dxa" w:w="3999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установления </w:t>
            </w:r>
            <w:r>
              <w:rPr>
                <w:rFonts w:ascii="Times New Roman" w:hAnsi="Times New Roman"/>
                <w:sz w:val="24"/>
              </w:rPr>
              <w:t>публичного сервитута</w:t>
            </w:r>
          </w:p>
        </w:tc>
        <w:tc>
          <w:tcPr>
            <w:tcW w:type="dxa" w:w="5959"/>
          </w:tcPr>
          <w:p w14:paraId="0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Cтроительство линий и сооружений связи – волоконно-оптической линии связи (ВОЛС) «Палана-Лесная»</w:t>
            </w:r>
          </w:p>
        </w:tc>
      </w:tr>
      <w:tr>
        <w:trPr>
          <w:trHeight w:hRule="atLeast" w:val="1309"/>
        </w:trPr>
        <w:tc>
          <w:tcPr>
            <w:tcW w:type="dxa" w:w="3999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или иное описание местоположения земельного участка (участков), в отношении которо</w:t>
            </w:r>
            <w:r>
              <w:rPr>
                <w:rFonts w:ascii="Times New Roman" w:hAnsi="Times New Roman"/>
                <w:sz w:val="24"/>
              </w:rPr>
              <w:t>го испрашивается публичный сервитут</w:t>
            </w:r>
          </w:p>
        </w:tc>
        <w:tc>
          <w:tcPr>
            <w:tcW w:type="dxa" w:w="5959"/>
          </w:tcPr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Публичный сервитут устанавливается в отношении земель </w:t>
            </w:r>
            <w:r>
              <w:rPr>
                <w:rStyle w:val="Style_4_ch"/>
                <w:rFonts w:ascii="Times New Roman" w:hAnsi="Times New Roman"/>
                <w:sz w:val="24"/>
              </w:rPr>
              <w:t>и земельных у</w:t>
            </w:r>
            <w:r>
              <w:rPr>
                <w:rStyle w:val="Style_4_ch"/>
                <w:rFonts w:ascii="Times New Roman" w:hAnsi="Times New Roman"/>
                <w:sz w:val="24"/>
              </w:rPr>
              <w:t>ча</w:t>
            </w:r>
            <w:r>
              <w:rPr>
                <w:rStyle w:val="Style_4_ch"/>
                <w:rFonts w:ascii="Times New Roman" w:hAnsi="Times New Roman"/>
                <w:sz w:val="24"/>
              </w:rPr>
              <w:t>стков, расположенных на территори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и </w:t>
            </w:r>
            <w:r>
              <w:rPr>
                <w:rStyle w:val="Style_4_ch"/>
                <w:rFonts w:ascii="Times New Roman" w:hAnsi="Times New Roman"/>
                <w:sz w:val="24"/>
              </w:rPr>
              <w:t>Тигильского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муниципальн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ого района, </w:t>
            </w:r>
            <w:r>
              <w:rPr>
                <w:rStyle w:val="Style_4_ch"/>
                <w:rFonts w:ascii="Times New Roman" w:hAnsi="Times New Roman"/>
                <w:sz w:val="24"/>
              </w:rPr>
              <w:t>сельского поселения «село Лесная», с. Лесная,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t>городского округа «поселок Палана»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, </w:t>
            </w:r>
            <w:r>
              <w:rPr>
                <w:rStyle w:val="Style_4_ch"/>
                <w:rFonts w:ascii="Times New Roman" w:hAnsi="Times New Roman"/>
                <w:sz w:val="24"/>
              </w:rPr>
              <w:t>поселка городского типа «Палана»</w:t>
            </w:r>
          </w:p>
        </w:tc>
      </w:tr>
      <w:tr>
        <w:tc>
          <w:tcPr>
            <w:tcW w:type="dxa" w:w="3999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</w:t>
            </w:r>
            <w:r>
              <w:rPr>
                <w:rFonts w:ascii="Times New Roman" w:hAnsi="Times New Roman"/>
                <w:sz w:val="24"/>
              </w:rPr>
              <w:t>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type="dxa" w:w="5959"/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амч</w:t>
            </w:r>
            <w:r>
              <w:rPr>
                <w:rFonts w:ascii="Times New Roman" w:hAnsi="Times New Roman"/>
                <w:sz w:val="24"/>
              </w:rPr>
              <w:t xml:space="preserve">атский край, г. Петропавловск-Камчатский, 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ул. Пограничная, д</w:t>
            </w:r>
            <w:r>
              <w:rPr>
                <w:rFonts w:ascii="Times New Roman" w:hAnsi="Times New Roman"/>
                <w:sz w:val="24"/>
              </w:rPr>
              <w:t xml:space="preserve">. 19, </w:t>
            </w:r>
            <w:r>
              <w:rPr>
                <w:rFonts w:ascii="Times New Roman" w:hAnsi="Times New Roman"/>
                <w:sz w:val="24"/>
              </w:rPr>
              <w:t>каб</w:t>
            </w:r>
            <w:r>
              <w:rPr>
                <w:rFonts w:ascii="Times New Roman" w:hAnsi="Times New Roman"/>
                <w:sz w:val="24"/>
              </w:rPr>
              <w:t>. 412.</w:t>
            </w:r>
          </w:p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приёма для ознакомления с поступивши</w:t>
            </w:r>
            <w:r>
              <w:rPr>
                <w:rFonts w:ascii="Times New Roman" w:hAnsi="Times New Roman"/>
                <w:sz w:val="24"/>
              </w:rPr>
              <w:t>м ходатайством об установлении публичного сервитута:</w:t>
            </w:r>
          </w:p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рабочие дни с 10-00 до 12-30, с 14-00 до 17-00.</w:t>
            </w:r>
          </w:p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подачи заявлений: в течение 15 дней со дня опубликования сообщения о возможном установлении публичного сервитута в порядке, установленном для официального оп</w:t>
            </w:r>
            <w:r>
              <w:rPr>
                <w:rFonts w:ascii="Times New Roman" w:hAnsi="Times New Roman"/>
                <w:sz w:val="24"/>
              </w:rPr>
              <w:t>убликования (обнародования) правовых актов</w:t>
            </w:r>
            <w:r>
              <w:rPr>
                <w:rFonts w:ascii="Times New Roman" w:hAnsi="Times New Roman"/>
                <w:sz w:val="24"/>
              </w:rPr>
              <w:t xml:space="preserve"> поселе</w:t>
            </w:r>
            <w:r>
              <w:rPr>
                <w:rFonts w:ascii="Times New Roman" w:hAnsi="Times New Roman"/>
                <w:sz w:val="24"/>
              </w:rPr>
              <w:t xml:space="preserve">ния, городского округа, </w:t>
            </w:r>
            <w:r>
              <w:rPr>
                <w:rFonts w:ascii="Times New Roman" w:hAnsi="Times New Roman"/>
                <w:sz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 ме</w:t>
            </w:r>
            <w:r>
              <w:rPr>
                <w:rFonts w:ascii="Times New Roman" w:hAnsi="Times New Roman"/>
                <w:sz w:val="24"/>
              </w:rPr>
              <w:t>сту нахождения земельного участка и (или) земель, в отношении которых подано поступившее ходатайство об установлении публичного сервитута.</w:t>
            </w:r>
          </w:p>
        </w:tc>
      </w:tr>
      <w:tr>
        <w:tc>
          <w:tcPr>
            <w:tcW w:type="dxa" w:w="3999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type="dxa" w:w="5959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"https://kamgov.ru/"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</w:t>
            </w:r>
            <w:r>
              <w:rPr>
                <w:rStyle w:val="Style_5_ch"/>
                <w:rFonts w:ascii="Times New Roman" w:hAnsi="Times New Roman"/>
                <w:sz w:val="24"/>
              </w:rPr>
              <w:t>ps://k</w:t>
            </w:r>
            <w:r>
              <w:rPr>
                <w:rStyle w:val="Style_5_ch"/>
                <w:rFonts w:ascii="Times New Roman" w:hAnsi="Times New Roman"/>
                <w:sz w:val="24"/>
              </w:rPr>
              <w:t>amgov.ru/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"http://palana.org/"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http://palana.org/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"https://www2.tigil.ru/"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https://www2.tigil.ru/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13000000">
            <w:pPr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"http://село-лесная.рф/"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http://село-лесная.рф/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14000000">
            <w:pPr>
              <w:rPr>
                <w:rFonts w:ascii="Times New Roman" w:hAnsi="Times New Roman"/>
                <w:sz w:val="24"/>
                <w:shd w:fill="FFD821" w:val="clear"/>
              </w:rPr>
            </w:pPr>
          </w:p>
          <w:p w14:paraId="15000000">
            <w:pPr>
              <w:rPr>
                <w:rFonts w:ascii="Times New Roman" w:hAnsi="Times New Roman"/>
                <w:sz w:val="24"/>
                <w:shd w:fill="FFD821" w:val="clear"/>
              </w:rPr>
            </w:pPr>
          </w:p>
          <w:p w14:paraId="16000000">
            <w:pPr>
              <w:rPr>
                <w:rFonts w:ascii="Times New Roman" w:hAnsi="Times New Roman"/>
                <w:sz w:val="24"/>
                <w:shd w:fill="FFD821" w:val="clear"/>
              </w:rPr>
            </w:pPr>
          </w:p>
          <w:p w14:paraId="17000000">
            <w:pPr>
              <w:rPr>
                <w:rFonts w:ascii="Times New Roman" w:hAnsi="Times New Roman"/>
                <w:sz w:val="24"/>
                <w:shd w:fill="FFD821" w:val="clear"/>
              </w:rPr>
            </w:pPr>
          </w:p>
        </w:tc>
      </w:tr>
      <w:tr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</w:t>
            </w:r>
            <w:r>
              <w:rPr>
                <w:rFonts w:ascii="Times New Roman" w:hAnsi="Times New Roman"/>
                <w:sz w:val="24"/>
              </w:rPr>
              <w:t>тановлении публичного сервитута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Государственная программа Камчатского края «Цифровая трансформация в Камчатском крае», утвержд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ена постановлением Правительства Камчатского края от 23.12.2021 года № 575-П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.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Распоряжение Правительства Камчатского края № 658-РП от 29.12.2021 «Об утверждении Плана реализации государственной программы Камчатского края «Цифровая трансформация в Камчатском крае» на 2022 год и на плановый период 2023 и 2024 годов.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4"/>
                <w:shd w:fill="FFD821" w:val="clear"/>
              </w:rPr>
            </w:pP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  <w:shd w:fill="FFD821" w:val="clear"/>
              </w:rPr>
            </w:pPr>
          </w:p>
        </w:tc>
      </w:tr>
      <w:tr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</w:t>
            </w:r>
            <w:r>
              <w:rPr>
                <w:rFonts w:ascii="Times New Roman" w:hAnsi="Times New Roman"/>
                <w:sz w:val="24"/>
              </w:rPr>
              <w:t>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https://digital.kamgov.ru/gosudarstvennaa-programma-kamcatskogo-kraa-cifrovaa-transformacia-v-kamcatskom-krae-1176</w:t>
            </w:r>
          </w:p>
        </w:tc>
      </w:tr>
      <w:tr>
        <w:tc>
          <w:tcPr>
            <w:tcW w:type="dxa" w:w="3999"/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местоположения границ публичного сервитута</w:t>
            </w:r>
          </w:p>
        </w:tc>
        <w:tc>
          <w:tcPr>
            <w:tcW w:type="dxa" w:w="5959"/>
          </w:tcPr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Подготовленные в </w:t>
            </w:r>
            <w:r>
              <w:rPr>
                <w:rFonts w:ascii="Times New Roman" w:hAnsi="Times New Roman"/>
                <w:sz w:val="24"/>
              </w:rPr>
              <w:t>форме электронного документа сведения о границах</w:t>
            </w:r>
            <w:r>
              <w:rPr>
                <w:rFonts w:ascii="Times New Roman" w:hAnsi="Times New Roman"/>
                <w:sz w:val="24"/>
              </w:rPr>
              <w:t xml:space="preserve"> публичного сервитута, включающие графическое описание местоположения границ публичного сервитута и переч</w:t>
            </w:r>
            <w:r>
              <w:rPr>
                <w:rFonts w:ascii="Times New Roman" w:hAnsi="Times New Roman"/>
                <w:sz w:val="24"/>
              </w:rPr>
              <w:t>ень координат характерных точек этих границ</w:t>
            </w:r>
            <w:r>
              <w:rPr>
                <w:rFonts w:ascii="Times New Roman" w:hAnsi="Times New Roman"/>
                <w:sz w:val="24"/>
              </w:rPr>
              <w:t xml:space="preserve"> в системе координат, установленной для ведени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я Единого госу</w:t>
            </w:r>
            <w:r>
              <w:rPr>
                <w:rFonts w:ascii="Times New Roman" w:hAnsi="Times New Roman"/>
                <w:sz w:val="24"/>
              </w:rPr>
              <w:t xml:space="preserve">дарственного реестра недвижимости </w:t>
            </w:r>
            <w:r>
              <w:rPr>
                <w:rFonts w:ascii="Times New Roman" w:hAnsi="Times New Roman"/>
                <w:sz w:val="24"/>
              </w:rPr>
              <w:t>прилагаются</w:t>
            </w:r>
          </w:p>
        </w:tc>
      </w:tr>
      <w:tr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type="dxa" w:w="5959"/>
            <w:vAlign w:val="center"/>
          </w:tcPr>
          <w:p w14:paraId="23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82:01:000002:799</w:t>
            </w:r>
          </w:p>
        </w:tc>
      </w:tr>
    </w:tbl>
    <w:p w14:paraId="24000000">
      <w:pPr>
        <w:rPr>
          <w:rFonts w:ascii="Times New Roman" w:hAnsi="Times New Roman"/>
          <w:sz w:val="24"/>
          <w:shd w:fill="FFD821" w:val="clear"/>
        </w:rPr>
      </w:pPr>
      <w:bookmarkStart w:id="2" w:name="Par0"/>
      <w:bookmarkEnd w:id="2"/>
    </w:p>
    <w:sectPr>
      <w:footerReference r:id="rId1" w:type="default"/>
      <w:pgSz w:h="16848" w:orient="portrait" w:w="11908"/>
      <w:pgMar w:bottom="567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14" w:type="paragraph">
    <w:name w:val="Гиперссылка1"/>
    <w:basedOn w:val="Style_15"/>
    <w:link w:val="Style_14_ch"/>
    <w:rPr>
      <w:color w:themeColor="hyperlink" w:val="0000FF"/>
      <w:u w:val="single"/>
    </w:rPr>
  </w:style>
  <w:style w:styleId="Style_14_ch" w:type="character">
    <w:name w:val="Гиперссылка1"/>
    <w:basedOn w:val="Style_15_ch"/>
    <w:link w:val="Style_14"/>
    <w:rPr>
      <w:color w:themeColor="hyperlink" w:val="0000FF"/>
      <w:u w:val="single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ConsPlusNormal"/>
    <w:link w:val="Style_19_ch"/>
    <w:pPr>
      <w:widowControl w:val="0"/>
      <w:spacing w:after="0" w:line="240" w:lineRule="auto"/>
      <w:ind/>
    </w:pPr>
    <w:rPr>
      <w:rFonts w:ascii="Calibri" w:hAnsi="Calibri"/>
    </w:rPr>
  </w:style>
  <w:style w:styleId="Style_19_ch" w:type="character">
    <w:name w:val="ConsPlusNormal"/>
    <w:link w:val="Style_19"/>
    <w:rPr>
      <w:rFonts w:ascii="Calibri" w:hAnsi="Calibri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head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4_ch"/>
    <w:link w:val="Style_23"/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27" w:type="paragraph">
    <w:name w:val="Заголовок 5 Знак"/>
    <w:link w:val="Style_27_ch"/>
    <w:rPr>
      <w:rFonts w:ascii="XO Thames" w:hAnsi="XO Thames"/>
      <w:b w:val="1"/>
      <w:sz w:val="22"/>
    </w:rPr>
  </w:style>
  <w:style w:styleId="Style_27_ch" w:type="character">
    <w:name w:val="Заголовок 5 Знак"/>
    <w:link w:val="Style_27"/>
    <w:rPr>
      <w:rFonts w:ascii="XO Thames" w:hAnsi="XO Thames"/>
      <w:b w:val="1"/>
      <w:sz w:val="22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2024-07-24T23:14:38Z</dcterms:modified>
</cp:coreProperties>
</file>