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85" y="0"/>
                <wp:lineTo x="-185" y="20741"/>
                <wp:lineTo x="20784" y="20741"/>
                <wp:lineTo x="20784" y="0"/>
                <wp:lineTo x="-185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3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О разграничении имущества, находящегося в муниципальной собственности, между муниципальным образованием «Олюторский муниципальный район» и муниципальным образованием «сельское поселение «село Тиличики»</w:t>
      </w:r>
      <w:r>
        <w:rPr>
          <w:rFonts w:ascii="Times New Roman" w:hAnsi="Times New Roman"/>
          <w:b/>
          <w:sz w:val="28"/>
          <w:szCs w:val="28"/>
        </w:rPr>
        <w:t xml:space="preserve"> Олюторского муниципального района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соответствии со статьей 2 Закона Камчатского края от 25.03.2008 № 28  «О Порядке разграничения муниципального имущества между муниципальными образованиями в Камчатском крае», учитывая согласования Главы Олюторского муниципального района и главы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сельского поселения «село Тиличики» </w:t>
      </w:r>
      <w:r>
        <w:rPr>
          <w:rFonts w:ascii="Times New Roman" w:hAnsi="Times New Roman"/>
          <w:color w:val="auto"/>
          <w:sz w:val="28"/>
          <w:szCs w:val="28"/>
        </w:rPr>
        <w:t>перечня имущества, находящегося в собственности муниципального образования «Олюторский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сельское поселение «село Тиличики» Олюторского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в порядке разграничения муниципального имущества,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93" w:leader="none"/>
          <w:tab w:val="left" w:pos="1134" w:leader="none"/>
        </w:tabs>
        <w:spacing w:lineRule="auto" w:line="240" w:before="0" w:after="0"/>
        <w:ind w:firstLine="709" w:left="0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перечень имущества, </w:t>
      </w:r>
      <w:r>
        <w:rPr>
          <w:rFonts w:ascii="Times New Roman" w:hAnsi="Times New Roman"/>
          <w:color w:val="auto"/>
          <w:sz w:val="28"/>
          <w:szCs w:val="28"/>
        </w:rPr>
        <w:t>находящегося в собственности муниципального образования «Олюторский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сельское поселение «село Тиличики» Олюторского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порядке разграничения муниципального имущества, согласно приложению к настоящему постановлению.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93" w:leader="none"/>
        </w:tabs>
        <w:spacing w:lineRule="auto" w:line="240" w:before="0" w:after="0"/>
        <w:ind w:firstLine="709" w:left="0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hanging="0" w:left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hanging="0" w:left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34" w:leader="none"/>
        </w:tabs>
        <w:spacing w:lineRule="auto" w:line="240" w:before="0" w:after="0"/>
        <w:ind w:hanging="0" w:left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396"/>
        <w:gridCol w:w="3738"/>
        <w:gridCol w:w="2539"/>
      </w:tblGrid>
      <w:tr>
        <w:trPr>
          <w:trHeight w:val="1891" w:hRule="atLeast"/>
        </w:trPr>
        <w:tc>
          <w:tcPr>
            <w:tcW w:w="339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27"/>
              <w:rPr>
                <w:color w:themeColor="text1"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szCs w:val="28"/>
              </w:rPr>
              <w:t>Председатель Правительства</w:t>
            </w:r>
          </w:p>
          <w:p>
            <w:pPr>
              <w:pStyle w:val="Normal"/>
              <w:spacing w:lineRule="auto" w:line="240" w:before="0" w:after="0"/>
              <w:ind w:right="27"/>
              <w:rPr>
                <w:color w:themeColor="text1"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szCs w:val="28"/>
              </w:rPr>
              <w:t>Камчатского края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color w:themeColor="text1"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</w:rPr>
            </w:r>
          </w:p>
        </w:tc>
        <w:tc>
          <w:tcPr>
            <w:tcW w:w="373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background1"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background1"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left="57"/>
              <w:rPr>
                <w:color w:themeColor="background1" w:val="FFFFFF"/>
                <w:sz w:val="24"/>
                <w:szCs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z w:val="24"/>
                <w:szCs w:val="24"/>
              </w:rPr>
              <w:t>[горизонтальный штамп подписи 1]</w:t>
            </w:r>
            <w:bookmarkEnd w:id="1"/>
          </w:p>
        </w:tc>
        <w:tc>
          <w:tcPr>
            <w:tcW w:w="253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color w:themeColor="text1"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szCs w:val="28"/>
              </w:rPr>
              <w:t>Ю.С. Морозова</w:t>
            </w:r>
          </w:p>
        </w:tc>
      </w:tr>
    </w:tbl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418" w:right="851" w:gutter="0" w:header="1134" w:top="1191" w:footer="0" w:bottom="426"/>
          <w:pgNumType w:start="1" w:fmt="decimal"/>
          <w:formProt w:val="false"/>
          <w:titlePg/>
          <w:textDirection w:val="lrTb"/>
          <w:docGrid w:type="default" w:linePitch="100" w:charSpace="8192"/>
        </w:sectPr>
      </w:pPr>
      <w:r>
        <w:br w:type="page"/>
      </w:r>
    </w:p>
    <w:tbl>
      <w:tblPr>
        <w:tblStyle w:val="af7"/>
        <w:tblW w:w="158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4"/>
        <w:gridCol w:w="481"/>
        <w:gridCol w:w="484"/>
        <w:gridCol w:w="3661"/>
        <w:gridCol w:w="6978"/>
        <w:gridCol w:w="1643"/>
        <w:gridCol w:w="461"/>
        <w:gridCol w:w="1632"/>
      </w:tblGrid>
      <w:tr>
        <w:trPr/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7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Calibri" w:hAnsi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07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Calibri" w:hAnsi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9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Calibri" w:hAnsi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Calibri" w:hAnsi="Calibri"/>
                <w:color w:themeColor="background1" w:val="FFFFFF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Calibri" w:hAnsi="Calibr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Calibri" w:hAnsi="Calibri"/>
                <w:color w:themeColor="background1" w:val="FFFFFF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EGNUMSTAM]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/>
      </w:pPr>
      <w:r>
        <w:rPr>
          <w:rFonts w:ascii="Times New Roman" w:hAnsi="Times New Roman"/>
          <w:bCs/>
          <w:sz w:val="28"/>
          <w:szCs w:val="28"/>
        </w:rPr>
        <w:t>Перечень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/>
      </w:pPr>
      <w:r>
        <w:rPr>
          <w:rFonts w:ascii="Times New Roman" w:hAnsi="Times New Roman"/>
          <w:sz w:val="28"/>
          <w:szCs w:val="28"/>
        </w:rPr>
        <w:t xml:space="preserve">имущества, </w:t>
      </w:r>
      <w:r>
        <w:rPr>
          <w:rFonts w:ascii="Times New Roman" w:hAnsi="Times New Roman"/>
          <w:color w:val="auto"/>
          <w:sz w:val="28"/>
          <w:szCs w:val="28"/>
        </w:rPr>
        <w:t>находящегося в собственности муниципального образования «Олюторский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>
        <w:rPr>
          <w:rFonts w:ascii="Times New Roman" w:hAnsi="Times New Roman"/>
          <w:bCs/>
          <w:color w:val="auto"/>
          <w:sz w:val="28"/>
          <w:szCs w:val="28"/>
        </w:rPr>
        <w:t>сельское поселение «село Тиличики» Олюторского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592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3"/>
        <w:gridCol w:w="1919"/>
        <w:gridCol w:w="2191"/>
        <w:gridCol w:w="3882"/>
        <w:gridCol w:w="2724"/>
        <w:gridCol w:w="2892"/>
        <w:gridCol w:w="1751"/>
      </w:tblGrid>
      <w:tr>
        <w:trPr>
          <w:trHeight w:val="510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организации, на балансе которой находится предлагаемое к передаче имущество</w:t>
            </w:r>
          </w:p>
        </w:tc>
        <w:tc>
          <w:tcPr>
            <w:tcW w:w="2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Адрес местонахождения организации, на балансе которой находится предлагаемое к передаче имущество</w:t>
            </w: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2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Индивидуализирующие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Пункт ____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части ____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статьи 50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закона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06.10.2003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№ 131-ФЗ</w:t>
            </w:r>
          </w:p>
        </w:tc>
      </w:tr>
      <w:tr>
        <w:trPr>
          <w:trHeight w:val="182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695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Подгорная,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36, кв. 2</w:t>
            </w:r>
          </w:p>
        </w:tc>
        <w:tc>
          <w:tcPr>
            <w:tcW w:w="28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82:03:000009:2222,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37,4 кв.м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3" w:name="_GoBack"/>
            <w:bookmarkEnd w:id="3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Печатный,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5, кв. 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82:03:000009:1756,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31,3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4" w:name="_GoBack_Копия_1"/>
            <w:bookmarkEnd w:id="4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36, кв. 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82:03:000009:2772,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17,2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5" w:name="_GoBack_Копия_2"/>
            <w:bookmarkEnd w:id="5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36, кв. 3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82:03:000009:2773,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26,2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6" w:name="_GoBack_Копия_3"/>
            <w:bookmarkEnd w:id="6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Зеленая,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2, кв. 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82:03:000009:2293,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39,0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7" w:name="_GoBack_Копия_4"/>
            <w:bookmarkEnd w:id="7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Зеленая,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13, кв. 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82:03:000009:2244,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36,3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8" w:name="_GoBack_Копия_5"/>
            <w:bookmarkEnd w:id="8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Жилое помещение расположено в многоквартирном доме, признанном аварийным и подлежащим сносу или реконструкции. Постановление «О признании многоквартирного дома, расположенного по адресу: Камчатский край, Олюторский район, с. Тиличики, ул. Зеленая, д. 15 аварийным и подлежащим сносу» от 28.11.2022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№ 490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Зеленая,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15, кв. 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82:03:000009:2246,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40,6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9" w:name="_GoBack_Копия_6"/>
            <w:bookmarkEnd w:id="9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Жилое помещение расположено в многоквартирном доме, признанном аварийным и подлежащим сносу или реконструкции. Постановление «О признании многоквартирного дома, расположенного по адресу: Камчатский край, Олюторский район, с. Тиличики, ул. Зеленая, д. 15 аварийным и подлежащим сносу» от 28.11.2022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№ 490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Зеленая,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15, кв. 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82:03:000009:2250,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51,9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10" w:name="_GoBack_Копия_7"/>
            <w:bookmarkEnd w:id="10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Жилое помещение расположено в многоквартирном доме, признанном аварийным и подлежащим сносу или реконструкции. Постановление «О признании многоквартирного дома, расположенного по адресу: Камчатский край, Олюторский район, с. Тиличики, ул. Зеленая, д. 15 аварийным и подлежащим сносу» от 28.11.2022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№ 490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Зеленая,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15, кв. 6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82:03:000009:2247,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30,9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11" w:name="_GoBack_Копия_8"/>
            <w:bookmarkEnd w:id="11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3, кв. 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82:03:000009:2210,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40,4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12" w:name="_GoBack_Копия_9"/>
            <w:bookmarkEnd w:id="12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21, пом. 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82:03:000009:1809,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49,7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13" w:name="_GoBack_Копия_10"/>
            <w:bookmarkEnd w:id="13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23, кв. 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82:03:000009:1277,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30,5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14" w:name="_GoBack_Копия_11"/>
            <w:bookmarkEnd w:id="14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15, кв. 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82:03:000009:1389,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41,5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15" w:name="_GoBack_Копия_12"/>
            <w:bookmarkEnd w:id="15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Набережная,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9, кв. 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82:03:000009:1423,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30,2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16" w:name="_GoBack_Копия_13"/>
            <w:bookmarkEnd w:id="16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Набережная,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9, кв. 10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82:03:000009:1428,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42,0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17" w:name="_GoBack_Копия_14"/>
            <w:bookmarkEnd w:id="17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Набережная,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9, кв. 12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82:03:000009:1430,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51,6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18" w:name="_GoBack_Копия_15"/>
            <w:bookmarkEnd w:id="18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Набережная,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11, кв. 11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82:03:000009:2267,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30,4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19" w:name="_GoBack_Копия_16"/>
            <w:bookmarkEnd w:id="19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Набережная,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12, кв. 12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82:03:000009:2237,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51,1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20" w:name="_GoBack_Копия_17"/>
            <w:bookmarkEnd w:id="20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Набережная,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22, кв. 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82:03:000009:1725,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51,5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21" w:name="_GoBack_Копия_18"/>
            <w:bookmarkEnd w:id="21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Набережная,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22, кв. 9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82:03:000009:1724,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51,1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22" w:name="_GoBack_Копия_19"/>
            <w:bookmarkEnd w:id="22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Набережная,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28, кв. 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82:03:000009:2832,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41,2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23" w:name="_GoBack_Копия_20"/>
            <w:bookmarkEnd w:id="23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Заречная,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7А, кв. 10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82:03:000008:787,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55,9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24" w:name="_GoBack_Копия_21"/>
            <w:bookmarkEnd w:id="24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Заречная,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9, кв. 4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82:03:000008:516,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46,8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25" w:name="_GoBack_Копия_22"/>
            <w:bookmarkEnd w:id="25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Заречная,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23, кв. 8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82:03:000008:681,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39,9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26" w:name="_GoBack_Копия_23"/>
            <w:bookmarkEnd w:id="26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Заречная,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23, кв. 10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82:03:000008:686,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30,9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27" w:name="_GoBack_Копия_24"/>
            <w:bookmarkEnd w:id="27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Заречная,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23, кв. 11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82:03:000008:687,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40,9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28" w:name="_GoBack_Копия_25"/>
            <w:bookmarkEnd w:id="28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Молодежная,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20В, пом. 7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82:03:000009:1865,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34,6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29" w:name="_GoBack_Копия_26"/>
            <w:bookmarkEnd w:id="29"/>
          </w:p>
        </w:tc>
      </w:tr>
      <w:tr>
        <w:trPr>
          <w:trHeight w:val="695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3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7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край,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Олюторский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Тиличики,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Молодежная,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31, кв. 5</w:t>
            </w:r>
          </w:p>
        </w:tc>
        <w:tc>
          <w:tcPr>
            <w:tcW w:w="28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82:03:000009:1848,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66,8 кв.м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Пункт 5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559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части 1</w:t>
            </w:r>
            <w:bookmarkStart w:id="30" w:name="_GoBack_Копия_27"/>
            <w:bookmarkEnd w:id="30"/>
          </w:p>
        </w:tc>
      </w:tr>
    </w:tbl>
    <w:p>
      <w:pPr>
        <w:pStyle w:val="Normal"/>
        <w:spacing w:lineRule="auto" w:line="240" w:before="0" w:after="160"/>
        <w:rPr/>
      </w:pPr>
      <w:r>
        <w:rPr/>
      </w:r>
    </w:p>
    <w:sectPr>
      <w:headerReference w:type="even" r:id="rId6"/>
      <w:headerReference w:type="default" r:id="rId7"/>
      <w:headerReference w:type="first" r:id="rId8"/>
      <w:type w:val="nextPage"/>
      <w:pgSz w:orient="landscape" w:w="16838" w:h="11906"/>
      <w:pgMar w:left="567" w:right="567" w:gutter="0" w:header="1134" w:top="1191" w:footer="0" w:bottom="56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bookmarkStart w:id="2" w:name="PageNumWizard_HEADER_Базовый2"/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  <w:bookmarkEnd w:id="2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isLgl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8"/>
        <w:szCs w:val="28"/>
        <w:rFonts w:ascii="Times New Roman" w:hAnsi="Times New Roman"/>
      </w:rPr>
    </w:lvl>
    <w:lvl w:ilvl="1">
      <w:start w:val="1"/>
      <w:isLgl/>
      <w:numFmt w:val="lowerLetter"/>
      <w:lvlText w:val="%2."/>
      <w:lvlJc w:val="left"/>
      <w:pPr>
        <w:tabs>
          <w:tab w:val="num" w:pos="0"/>
        </w:tabs>
        <w:ind w:left="1648" w:hanging="360"/>
      </w:pPr>
      <w:rPr/>
    </w:lvl>
    <w:lvl w:ilvl="2">
      <w:start w:val="1"/>
      <w:isLgl/>
      <w:numFmt w:val="lowerRoman"/>
      <w:lvlText w:val="%3."/>
      <w:lvlJc w:val="right"/>
      <w:pPr>
        <w:tabs>
          <w:tab w:val="num" w:pos="0"/>
        </w:tabs>
        <w:ind w:left="2368" w:hanging="180"/>
      </w:pPr>
      <w:rPr/>
    </w:lvl>
    <w:lvl w:ilvl="3">
      <w:start w:val="1"/>
      <w:isLgl/>
      <w:numFmt w:val="decimal"/>
      <w:lvlText w:val="%4."/>
      <w:lvlJc w:val="left"/>
      <w:pPr>
        <w:tabs>
          <w:tab w:val="num" w:pos="0"/>
        </w:tabs>
        <w:ind w:left="3088" w:hanging="360"/>
      </w:pPr>
      <w:rPr/>
    </w:lvl>
    <w:lvl w:ilvl="4">
      <w:start w:val="1"/>
      <w:isLgl/>
      <w:numFmt w:val="lowerLetter"/>
      <w:lvlText w:val="%5."/>
      <w:lvlJc w:val="left"/>
      <w:pPr>
        <w:tabs>
          <w:tab w:val="num" w:pos="0"/>
        </w:tabs>
        <w:ind w:left="3808" w:hanging="360"/>
      </w:pPr>
      <w:rPr/>
    </w:lvl>
    <w:lvl w:ilvl="5">
      <w:start w:val="1"/>
      <w:isLgl/>
      <w:numFmt w:val="lowerRoman"/>
      <w:lvlText w:val="%6."/>
      <w:lvlJc w:val="right"/>
      <w:pPr>
        <w:tabs>
          <w:tab w:val="num" w:pos="0"/>
        </w:tabs>
        <w:ind w:left="4528" w:hanging="180"/>
      </w:pPr>
      <w:rPr/>
    </w:lvl>
    <w:lvl w:ilvl="6">
      <w:start w:val="1"/>
      <w:isLgl/>
      <w:numFmt w:val="decimal"/>
      <w:lvlText w:val="%7."/>
      <w:lvlJc w:val="left"/>
      <w:pPr>
        <w:tabs>
          <w:tab w:val="num" w:pos="0"/>
        </w:tabs>
        <w:ind w:left="5248" w:hanging="360"/>
      </w:pPr>
      <w:rPr/>
    </w:lvl>
    <w:lvl w:ilvl="7">
      <w:start w:val="1"/>
      <w:isLgl/>
      <w:numFmt w:val="lowerLetter"/>
      <w:lvlText w:val="%8."/>
      <w:lvlJc w:val="left"/>
      <w:pPr>
        <w:tabs>
          <w:tab w:val="num" w:pos="0"/>
        </w:tabs>
        <w:ind w:left="5968" w:hanging="360"/>
      </w:pPr>
      <w:rPr/>
    </w:lvl>
    <w:lvl w:ilvl="8">
      <w:start w:val="1"/>
      <w:isLgl/>
      <w:numFmt w:val="lowerRoman"/>
      <w:lvlText w:val="%9."/>
      <w:lvlJc w:val="right"/>
      <w:pPr>
        <w:tabs>
          <w:tab w:val="num" w:pos="0"/>
        </w:tabs>
        <w:ind w:left="668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</w:rPr>
  </w:style>
  <w:style w:type="paragraph" w:styleId="Title">
    <w:name w:val="Title"/>
    <w:next w:val="BodyText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LibreOffice/24.2.3.2$Windows_X86_64 LibreOffice_project/433d9c2ded56988e8a90e6b2e771ee4e6a5ab2ba</Application>
  <AppVersion>15.0000</AppVersion>
  <Pages>7</Pages>
  <Words>1136</Words>
  <Characters>6785</Characters>
  <CharactersWithSpaces>7732</CharactersWithSpaces>
  <Paragraphs>411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2025-04-06T22:15:00Z</dcterms:created>
  <dc:creator>Лосев Дмитрий Игоревич</dc:creator>
  <dc:description/>
  <dc:language>ru-RU</dc:language>
  <cp:lastModifiedBy/>
  <dcterms:modified xsi:type="dcterms:W3CDTF">2025-04-10T14:54:22Z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