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33" y="0"/>
                <wp:lineTo x="-233" y="20702"/>
                <wp:lineTo x="20735" y="20702"/>
                <wp:lineTo x="20735" y="0"/>
                <wp:lineTo x="-23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  <w:tab/>
        <w:t>Внести в постановление Правительства Камчатского края от 22.05.2017 № 212-П «Об утверждении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 следующие изменения: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«Об утверждении Порядка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стоимость»</w:t>
      </w:r>
      <w:r>
        <w:rPr>
          <w:rFonts w:ascii="Times New Roman" w:hAnsi="Times New Roman"/>
          <w:b w:val="false"/>
          <w:bCs w:val="false"/>
          <w:sz w:val="28"/>
        </w:rPr>
        <w:t>;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</w:rPr>
        <w:t>2) преамбулу изложить в следующей редакции: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b/>
          <w:bCs/>
        </w:rPr>
      </w:pPr>
      <w:r>
        <w:rPr>
          <w:rFonts w:ascii="Times New Roman" w:hAnsi="Times New Roman"/>
          <w:b w:val="false"/>
          <w:bCs w:val="false"/>
          <w:sz w:val="28"/>
        </w:rPr>
        <w:t>«В соответствии с пунктом 9 статьи 378</w:t>
      </w:r>
      <w:r>
        <w:rPr>
          <w:rFonts w:ascii="Times New Roman" w:hAnsi="Times New Roman"/>
          <w:b w:val="false"/>
          <w:bCs w:val="false"/>
          <w:sz w:val="28"/>
          <w:vertAlign w:val="superscript"/>
        </w:rPr>
        <w:t>2</w:t>
      </w:r>
      <w:r>
        <w:rPr>
          <w:rFonts w:ascii="Times New Roman" w:hAnsi="Times New Roman"/>
          <w:b w:val="false"/>
          <w:bCs w:val="false"/>
          <w:sz w:val="28"/>
        </w:rPr>
        <w:t xml:space="preserve"> Налогового кодекса Российской Федерации</w:t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ПРАВИТЕЛЬСТВО ПОСТАНОВЛЯЕТ:»;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3) постановляющую часть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«1. Утвердить Порядок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2. Рекомендовать главам администраций городских, муниципальных округов и муниципальных районов в Камчатском крае оказывать содействие Министерству имущественных и земельных отношений Камчатского края в проведении мероприятий по определению вида фактического использования зданий (строений, сооружений) и помещений, расположенных на территориях муниципальных образований в Камчатском крае, в отношении которых налоговая база определяется как кадастровая стоимость.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3. Признать утратившим силу постановление Правительства Камчатского края от 08.08.2016 № 305-П «Об утверждении временного Порядка определения вида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4. Настоящее постановление вступает в силу через 10 дней после дня его официального опубликования.»;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4) приложение изложить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Временно исполняющий обязанности Председателя 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57"/>
              <w:rPr/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  <w:r>
        <w:br w:type="page"/>
      </w:r>
    </w:p>
    <w:tbl>
      <w:tblPr>
        <w:tblStyle w:val="af5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2"/>
        <w:gridCol w:w="480"/>
        <w:gridCol w:w="1888"/>
        <w:gridCol w:w="485"/>
        <w:gridCol w:w="1681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 xml:space="preserve">«Приложение к постановлению </w:t>
      </w:r>
    </w:p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</w:rPr>
        <w:t>от 22.05.2017 № 212-П</w:t>
      </w:r>
    </w:p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8079" w:left="80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</w:rPr>
        <w:t>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регулирует вопросы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 (далее – объекты недвижимости).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 Определение вида фактического использования объектов недвижимости осуществляется в соответствии с условиями, установленными пунктами 3–5 статьи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Исполнительным органом Камчатского края, уполномоченным на определение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вида фактического использования объектов недвижимости, является Министерство имущественных и земельных отношений Камчатского края (далее – уполномоченный орган).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Порядок организации деятельности комиссии по определению вида фактического использования объектов недвижимости</w:t>
      </w:r>
    </w:p>
    <w:p>
      <w:pPr>
        <w:pStyle w:val="Normal"/>
        <w:spacing w:lineRule="auto" w:line="240" w:before="0" w:after="0"/>
        <w:ind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Мероприятия по определению вида фактического использования объектов недвижимости осуществляются комиссиями по определению вида фактического использования объектов недвижимого имущества, в отношении которых налоговая база определяется как кадастровая стоимость (далее – муниципальная комиссия).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Муниципальные комиссии создаются на территориях городских, муниципальных округов и муниципальных районов в Камчатском крае.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 Состав муниципальной комиссии утверждается распоряжением уполномоченного органа и размещается на официальном сайте исполнительных органов Камчатского края на странице уполномоченного органа в информационно-телекоммуникационной сети «Интернет» (далее – официальный сайт уполномоченного органа) в течение 7 рабочих дней со дня утверждения.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 В состав муниципальной комиссии входят председатель, секретарь и члены муниципальной комиссии. Количественный состав муниципальной комиссии не может быть менее 5 человек.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 В состав муниципальной комиссии могут входить: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 представители исполнительных органов Камчатского края, государственных унитарных предприятий и государственных учреждений Камчатского края;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2) представители органов местного самоуправления муниципальных образований в Камчатском крае, муниципальных унитарных предприятий и муниципальных учреждений.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 Муниципальная комиссия осуществляет свою деятельность в форме заседаний и обследований объектов недвижимости в целях определения вида их фактического использования.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Заседания муниципальной комиссии являются правомочными при участии в них не менее половины от общего числа членов муниципальной комиссии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Муниципальная комиссия принимает решения в виде предложений уполномоченному органу о включении (не включении) конкретных объектов недвижимости в перечень объектов недвижимого имущества, в отношении которых налоговая база определяется как кадастровая стоимость (далее – перечень), а также об исключении объектов недвижимости из перечня.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 Муниципальная комиссия принимает решения открытым голосованием простым большинством голосов от числа присутствующих членов муниципальной комиссии. В случае равенства голосов голос председательствующего на заседании муниципальной комиссии является решающим.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  <w:t>Решения муниципальной комиссии оформляются протоколом заседания муниципальной комиссии, который подписывается председателем и секретарем муниципальной комиссии.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  <w:t>14. Члены муниципальной комиссии, несогласные с принятым муниципальной комиссией решением, вправе письменно изложить свое мнение, которое приобщается к протоколу заседания муниципальной комиссии.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15. Контроль за проведением муниципальной комиссией мероприятий по определению вида фактического использования объектов недвижимости осуществляет уполномоченный орган.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Порядок проведения обследований и оформление результатов обследований объектов недвижимости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 Обследование объекта недвижимости (далее – обследование) проводится в случае, если сведения, содержащиеся в Едином государственном реестре недвижимости, или документы технического учета (инвентаризации) объекта недвижимости не позволяют достоверно определить вид фактического использования объекта недвижимости.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 В целях проведения обследования распоряжением уполномоченного органа ежегодно утверждаются графики проведения обследований с указанием объектов недвижимости, подлежащих обследованию, и сроков проведения обследований.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18. Уполномоченный орган размещает график проведения обследований на официальном сайте уполномоченного органа в течение 5 рабочих дней со дня его утверждения и направляет график проведения обследований в орган местного самоуправления городского, муниципального округа, муниципального района в Камчатском крае, на территории которого будет проводиться обследование, для размещения на официальном сайте муниципального образования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19. В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срок не позднее 3 рабочих дней перед проведением обследования муниципальная комиссия информирует собственников либо правообладателей объекта недвижимости о предстоящем обследовании любыми доступными способами, в том числе с использованием средств телефонной, факсимильной и электронной связи.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20. Собственник либо правообладатель объекта недвижимости имеет право самостоятельно обратиться в муниципальную комиссию с заявлением о проведении обследования. В таком случае обследование проводится в течение </w:t>
        <w:br/>
        <w:t>7 рабочих дней со дня поступления в муниципальную комиссию заявления о проведении обследования.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21. При проведении мероприятий по определению вида фактического использования объектов недвижимости муниципальная комиссия использует информацию, содержащуюся в Едином государственном реестре недвижимости, документы технического учета (инвентаризации) объектов недвижимости и (или) сведения о таком учете (инвентаризации).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Муниципальная комиссия вправе запрашивать необходимые сведения у федеральных органов исполнительной власти (их территориальных органов), органов исполнительной власти Камчатского края и подведомственных им организаций, органов местного самоуправления муниципальных образований в Камчатском крае, собственников объектов недвижимости, а также использовать открытые источники информации о виде деятельности, осуществляемой на объекте недвижимости, подлежащем обследованию.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22. Обследование осуществляется путем визуального осмотра объекта недвижимости членами муниципальной комиссии в составе не менее 3 человек.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ходе проведения обследования осуществляется фотосъемка (при необходимости видеосъемка), фиксирующая фактическое использование объекта недвижимости, а также фотосъемка (при необходимости видеосъемка) информационных стендов с реквизитами лиц, осуществляющих деятельность на объекте недвижимости.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23. Для проведения обследований в качестве эксперта может быть привлечено лицо, обладающее специальными знаниями по вопросам, возникающим в ходе проведения мероприятий по определению вида фактического использования объектов недвижимости.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24. По результатам обследования в отношении каждого объекта недвижимости составляется акт обследования объекта недвижимости (далее – акт обследования) по форме согласно приложению к настоящему Порядку. 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25. При отсутствии доступа на объект недвижимости (объект закрыт и отсутствует персонал, режимный объект, иные причины), а также в случае отказа собственника (владельца) в доступе на объект недвижимости, составляется акт обследования с указанием на признаки размещения на территории объекта недвижимости офисов и (или) торговых объектов, и (или) объектов общественного питания, и (или) объектов бытового обслуживания (при наличии) с приложением фото- и (или) видеоматериалов и обязательной отметкой об отсутствии доступа на объект недвижимости.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26. Результаты обследований рассматриваются на заседании муниципальной комиссии ежемесячно. По каждому объекту недвижимости муниципальная комиссия принимает решение в виде предложения (рекомендации) уполномоченному органу о включении либо не включении объекта недвижимости в перечень или об исключении объекта недвижимости из перечня.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27. Протокол заседания муниципальной комиссии, акты обследования с приложением материалов обследования направляются муниципальной комиссией в уполномоченный орган в срок, не превышающий 5 рабочих дней со дня проведения заседания муниципальной комиссии.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28. Собственник либо правообладатель объекта недвижимости вправе направить в муниципальную комиссию запрос о предоставлении копии акта обследования.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hd w:fill="auto" w:val="clear"/>
        </w:rPr>
        <w:t xml:space="preserve">Копия акта обследования направляется собственнику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 xml:space="preserve">либо правообладателю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hd w:fill="auto" w:val="clear"/>
        </w:rPr>
        <w:t>объекта недвижимости в течение 7 рабочих дней со дня поступления запроса, но не ранее 30 рабочих дней со дня проведения обследования объекта недвижимости.</w:t>
      </w:r>
    </w:p>
    <w:p>
      <w:pPr>
        <w:pStyle w:val="ConsPlusNormal1"/>
        <w:ind w:firstLine="567" w:left="0" w:right="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Материалы фото- и (или) видеосъемки собственнику либо правообладателю объекта недвижимости не направляются.</w:t>
      </w:r>
    </w:p>
    <w:p>
      <w:pPr>
        <w:pStyle w:val="ConsPlusNormal1"/>
        <w:ind w:firstLine="567" w:left="0" w:right="0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ConsPlusNormal1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4. Порядок проведения повторных обследований и оформление результатов повторных обследований объектов недвижимости</w:t>
      </w:r>
    </w:p>
    <w:p>
      <w:pPr>
        <w:pStyle w:val="ConsPlusNormal1"/>
        <w:ind w:firstLine="567" w:left="0" w:right="0"/>
        <w:jc w:val="both"/>
        <w:rPr>
          <w:rFonts w:ascii="Times New Roman" w:hAnsi="Times New Roman"/>
          <w:sz w:val="28"/>
          <w:highlight w:val="none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</w:r>
    </w:p>
    <w:p>
      <w:pPr>
        <w:pStyle w:val="Normal"/>
        <w:tabs>
          <w:tab w:val="clear" w:pos="708"/>
          <w:tab w:val="left" w:pos="1836" w:leader="none"/>
        </w:tabs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29. В случае несогласия с результатами обследования собственник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либо правообладатель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объекта недвижимости в течение 30 календарных дней с даты получения копии акта обследования вправе обратиться в уполномоченный орган с мотивированным заявлением о пересмотре результатов обследования путем проведения повторного обследования объекта недвижимости (далее – заявление).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30. При поступлении заявления уполномоченный орган организовывает проведение повторного обследования объекта недвижимости путем направления обращения в муниципальную комиссию.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Повторное обследование объекта недвижимости проводится в течение 30 рабочих дней со дня поступления заявления в уполномоченный орган. Акт обследования представляется комиссией в уполномоченный орган в течение</w:t>
        <w:br/>
        <w:t>7 рабочих дней со дня окончания проведения повторного обследования.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31. Результаты повторных обследований объектов недвижимости рассматриваются комиссией по вопросам определения вида фактического использования объектов недвижимого имущества, расположенных на территории Камчатского края, в отношении которых налоговая база определяется как кадастровая стоимость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(далее – комиссия).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32. Состав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 xml:space="preserve">комиссии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утверждается приказом уполномоченного органа и размещается на официальном сайте уполномоченного органа в течение </w:t>
        <w:br/>
        <w:t>7 рабочих дней со дня утверждения.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33.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В состав комиссии входят председатель, секретарь и члены комиссии. Количественный состав комиссии не может быть менее 5 человек.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34. В состав комиссии могут входить представители исполнительных органов Камчатского края, государственных унитарных предприятий и государственных учреждений Камчатского края, территориального органа Федеральной службы государственной регистрации, кадастра и картографии.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35. Комиссия осуществляет свою деятельность в форме заседаний.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36. Заседания комиссии являются правомочными при участии в них не менее половины от общего числа членов комиссии.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37. Комиссия принимает решения в форме заключений о соответствии (не соответствии) объекта недвижимости условиям, установленным пунктами 3–5 статьи 378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  <w:vertAlign w:val="superscript"/>
        </w:rPr>
        <w:t>2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 xml:space="preserve"> Налогового кодекса Российской Федерации, а также о наличии либо отсутствии оснований для включения (не включения) объекта недвижимости в перечень либо исключения объекта недвижимости из перечня.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38. Комиссия принимает решения открытым голосованием простым большинством голосов от числа присутствующих членов комиссии. В случае равенства голосов голос председательствующего на заседании комиссии является решающим.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39. Решения комиссии оформляются протоколом заседания комиссии, который подписывается председателем и секретарем комиссии.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40. Члены комиссии, несогласные с принятым комиссией решением, вправе письменно изложить свое мнение, которое приобщается к протоколу заседания комиссии.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41. Решения комиссии носят рекомендательный характер.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42. В течение 20 календарных дней со дня принятия комиссией решения уполномоченный орган издает приказ об исключении объекта недвижимости из перечня или в письменной форме уведомляет собственника либо правообладателя объекта недвижимости об отказе в исключении объекта недвижимости из перечня.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43. В случае издания приказа об исключении объекта недвижимости из перечня (далее – приказ) уполномоченный орган: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 xml:space="preserve">1) в течение 5 календарных дней со дня внесения изменений в перечень направляет приказ в электронной форме в Управление Федеральной налоговой службы по Камчатскому краю; 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2) размещает приказ на официальном сайте уполномоченного органа.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44. Исключение объектов недвижимости из перечня осуществляется уполномоченным органом в следующих случаях: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1) по результатам обследования – за налоговый период, в котором проводилось обследование;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2) по решению суда – за налоговый период, указанный в таком решении;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3) при исправлении ошибки, подтверждаемой сведениями территориального органа Федеральной службы государственной регистрации, кадастра и картографии, иных уполномоченных органов, организаций, комиссий – за налоговый период, начиная с периода в котором была допущена ошибка.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45. Направление собственнику либо правообладателю объекта недвижимости копии акта обследования и проведение повторного обследования объекта недвижимости осуществляется до определения уполномоченным органом перечня на очередной налоговый период.</w:t>
      </w:r>
    </w:p>
    <w:p>
      <w:pPr>
        <w:pStyle w:val="Normal"/>
        <w:spacing w:lineRule="auto" w:line="240" w:before="0" w:after="0"/>
        <w:ind w:firstLine="680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shd w:fill="auto" w:val="clear"/>
        </w:rPr>
        <w:t>46. В случае изменения вида фактического использования зданий (строений, сооружений) и помещений собственник либо правообладатель объекта недвижимости, в целях проведения мероприятий по определению вида фактического использования объекта недвижимости, вправе обратиться в уполномоченный орган, который в срок не позднее 60 календарных дней со дня поступления такого обращения обеспечивает проведение мероприятий комиссией.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b w:val="false"/>
          <w:i w:val="false"/>
          <w:i w:val="false"/>
          <w:strike w:val="false"/>
          <w:dstrike w:val="false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</w:tcPr>
          <w:p>
            <w:pPr>
              <w:pStyle w:val="Style18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481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 xml:space="preserve">Приложение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к порядку определения вида фактического использования зданий (строений, сооружений) и помещений, расположенных на территории Камчатского края, в отношении которых налоговая база определяется как кадастровая стоимость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57"/>
              <w:jc w:val="both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spacing w:lineRule="auto" w:line="240" w:before="0" w:after="0"/>
              <w:ind w:hanging="0" w:left="57" w:right="57"/>
              <w:jc w:val="right"/>
              <w:rPr>
                <w:rFonts w:ascii="Times New Roman" w:hAnsi="Times New Roman"/>
                <w:b w:val="false"/>
                <w:bCs w:val="false"/>
                <w:i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shd w:fill="auto" w:val="clear"/>
              </w:rPr>
              <w:t>ФОРМА</w:t>
            </w:r>
          </w:p>
        </w:tc>
      </w:tr>
    </w:tbl>
    <w:p>
      <w:pPr>
        <w:pStyle w:val="Normal"/>
        <w:spacing w:lineRule="auto" w:line="240" w:before="0" w:after="0"/>
        <w:ind w:hanging="0"/>
        <w:jc w:val="right"/>
        <w:rPr>
          <w:rFonts w:ascii="Times New Roman" w:hAnsi="Times New Roman"/>
          <w:b w:val="false"/>
          <w:bCs w:val="false"/>
          <w:i w:val="false"/>
          <w:i w:val="false"/>
          <w:strike w:val="false"/>
          <w:dstrike w:val="false"/>
          <w:sz w:val="28"/>
          <w:szCs w:val="28"/>
          <w:shd w:fill="auto" w:val="clear"/>
        </w:rPr>
      </w:pPr>
      <w:r>
        <w:rPr/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Акт № ___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обследования вида фактического использования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объекта недвижимого имущества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«__» ________ 20___ г.</w:t>
        <w:tab/>
        <w:t xml:space="preserve">          ____________________________</w:t>
      </w:r>
    </w:p>
    <w:p>
      <w:pPr>
        <w:pStyle w:val="ConsPlusNonformat"/>
        <w:tabs>
          <w:tab w:val="clear" w:pos="708"/>
          <w:tab w:val="left" w:pos="5625" w:leader="none"/>
          <w:tab w:val="left" w:pos="6435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20"/>
          <w:szCs w:val="20"/>
        </w:rPr>
        <w:t>наименование населенного пункта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объекта в соответствии с техническим и кадастровым паспортом)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2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Край: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Район: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Город, поселок, село:</w:t>
            </w:r>
          </w:p>
        </w:tc>
      </w:tr>
      <w:tr>
        <w:trPr>
          <w:trHeight w:val="13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Улица (переулок):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Дом №: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Корпус:</w:t>
            </w:r>
          </w:p>
        </w:tc>
      </w:tr>
      <w:tr>
        <w:trPr/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Строение: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637"/>
      </w:tblGrid>
      <w:tr>
        <w:trPr>
          <w:trHeight w:val="187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Собственник (правообладатель) объекта: (полное наименование, ИНН)</w:t>
            </w:r>
          </w:p>
        </w:tc>
      </w:tr>
      <w:tr>
        <w:trPr>
          <w:trHeight w:val="118" w:hRule="atLeast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8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  <w:lang w:eastAsia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Par91"/>
      <w:bookmarkStart w:id="3" w:name="Par91"/>
      <w:bookmarkEnd w:id="3"/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Общие сведения</w:t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757"/>
        <w:gridCol w:w="5879"/>
      </w:tblGrid>
      <w:tr>
        <w:trPr/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4" w:name="Par93"/>
            <w:bookmarkEnd w:id="4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1.1. Общие сведения о здании (строении, сооружении), нежилом помещении</w:t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Инвентарный номер: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Общая площадь (кв. м)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Количество этажей, в том числе подземных этажей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5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80" w:hRule="atLeast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left"/>
              <w:outlineLvl w:val="3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bookmarkStart w:id="5" w:name="Par103"/>
            <w:bookmarkEnd w:id="5"/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1.2. Общие сведения о земельном участке</w:t>
            </w:r>
          </w:p>
        </w:tc>
      </w:tr>
      <w:tr>
        <w:trPr>
          <w:trHeight w:val="17" w:hRule="atLeast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Виды разрешенного использования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bookmarkStart w:id="6" w:name="Par111"/>
      <w:bookmarkEnd w:id="6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Мероприятия по определению вида фактического использования объекта</w:t>
      </w:r>
    </w:p>
    <w:tbl>
      <w:tblPr>
        <w:tblW w:w="5000" w:type="pct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34"/>
        <w:gridCol w:w="4583"/>
        <w:gridCol w:w="1191"/>
        <w:gridCol w:w="1793"/>
        <w:gridCol w:w="1435"/>
      </w:tblGrid>
      <w:tr>
        <w:trPr>
          <w:trHeight w:val="17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2.1. Мероприятие проведено:</w:t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доступом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доступа в здание (строение, сооружение), нежилое помещение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>
          <w:trHeight w:val="25" w:hRule="atLeast"/>
        </w:trPr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2.2. Обследование (обмер) объекта проведено:</w:t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с согласия и при участии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без согласия правообладателя или его представителя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препятствовали проведению обследования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 правообладатель или его представитель запретили проведение обследования и препятствовали его осуществлению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</w:r>
          </w:p>
        </w:tc>
      </w:tr>
      <w:tr>
        <w:trPr/>
        <w:tc>
          <w:tcPr>
            <w:tcW w:w="9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en-US"/>
              </w:rPr>
              <w:t>2.3. Описание фактического использования помещений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Наименование помещения (позиции)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Фактическое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использование</w:t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209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Фото-</w:t>
      </w:r>
      <w:r>
        <w:rPr>
          <w:rFonts w:cs="Times New Roman" w:ascii="Times New Roman" w:hAnsi="Times New Roman"/>
          <w:sz w:val="24"/>
          <w:szCs w:val="24"/>
        </w:rPr>
        <w:t xml:space="preserve"> (видео-) съемка при обследовании </w:t>
      </w:r>
      <w:r>
        <w:rPr>
          <w:rFonts w:cs="Times New Roman" w:ascii="Times New Roman" w:hAnsi="Times New Roman"/>
          <w:sz w:val="24"/>
          <w:szCs w:val="24"/>
          <w:u w:val="single"/>
        </w:rPr>
        <w:t>проводилась</w:t>
      </w:r>
      <w:r>
        <w:rPr>
          <w:rFonts w:cs="Times New Roman" w:ascii="Times New Roman" w:hAnsi="Times New Roman"/>
          <w:sz w:val="24"/>
          <w:szCs w:val="24"/>
        </w:rPr>
        <w:t>/не проводилась (нужное подчеркнуть).</w:t>
      </w:r>
    </w:p>
    <w:p>
      <w:pPr>
        <w:pStyle w:val="Normal"/>
        <w:widowControl w:val="false"/>
        <w:spacing w:lineRule="auto" w:line="240" w:before="0" w:after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b w:val="false"/>
          <w:bCs w:val="false"/>
          <w:sz w:val="28"/>
          <w:szCs w:val="28"/>
        </w:rPr>
      </w:pPr>
      <w:bookmarkStart w:id="7" w:name="Par141"/>
      <w:bookmarkEnd w:id="7"/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3. Заключение о фактическом использовании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2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4. Особые отметки</w:t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jc w:val="left"/>
        <w:outlineLvl w:val="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hanging="0" w:left="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5. Приложение</w:t>
      </w:r>
    </w:p>
    <w:p>
      <w:pPr>
        <w:pStyle w:val="ConsPlusNonformat"/>
        <w:jc w:val="lef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Выписка из Единого государственного реестра недвижимости об объекте недвижимости.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Фото- (видео-) материалы.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left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Члены комиссии, проводившие обследование:</w:t>
      </w:r>
    </w:p>
    <w:p>
      <w:pPr>
        <w:pStyle w:val="ConsPlusNonforma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         ___________________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(подпись) 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____________________         ___________________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(должность)                                        (подпись)                   (расшифровка подписи)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               ____________________         ___________________</w:t>
      </w:r>
    </w:p>
    <w:p>
      <w:pPr>
        <w:pStyle w:val="ConsPlusNonformat"/>
        <w:suppressAutoHyphens w:val="true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(должность)                                        (подпись)                   (расшифровка подписи)</w:t>
      </w:r>
    </w:p>
    <w:p>
      <w:pPr>
        <w:pStyle w:val="ConsPlusNonformat"/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1134" w:top="1191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11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000000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BE91-32A9-4C32-B71D-C666B018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Application>LibreOffice/24.2.0.3$Windows_X86_64 LibreOffice_project/da48488a73ddd66ea24cf16bbc4f7b9c08e9bea1</Application>
  <AppVersion>15.0000</AppVersion>
  <Pages>11</Pages>
  <Words>2189</Words>
  <Characters>17164</Characters>
  <CharactersWithSpaces>19885</CharactersWithSpaces>
  <Paragraphs>162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2025-03-26T02:40:00Z</dcterms:created>
  <dc:creator>Лосев Дмитрий Игоревич</dc:creator>
  <dc:description/>
  <dc:language>ru-RU</dc:language>
  <cp:lastModifiedBy/>
  <cp:lastPrinted>2025-04-03T11:42:27Z</cp:lastPrinted>
  <dcterms:modified xsi:type="dcterms:W3CDTF">2025-04-07T09:56:59Z</dcterms:modified>
  <cp:revision>151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