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3000000">
      <w:pPr>
        <w:spacing w:after="0" w:line="276" w:lineRule="auto"/>
        <w:ind/>
        <w:rPr>
          <w:rFonts w:ascii="Times New Roman" w:hAnsi="Times New Roman"/>
          <w:sz w:val="28"/>
        </w:rPr>
      </w:pPr>
      <w:bookmarkStart w:id="1" w:name="_GoBack"/>
      <w:bookmarkEnd w:id="1"/>
      <w:r>
        <w:rPr>
          <w:rFonts w:ascii="Times New Roman" w:hAnsi="Times New Roman"/>
          <w:sz w:val="32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0" y="0"/>
                <wp:lineTo x="0" y="20887"/>
                <wp:lineTo x="20965" y="20887"/>
                <wp:lineTo x="20965" y="0"/>
                <wp:lineTo x="0" y="0"/>
              </wp:wrapPolygon>
            </wp:wrapTight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4000000">
      <w:pPr>
        <w:spacing w:after="0" w:line="360" w:lineRule="auto"/>
        <w:ind/>
        <w:jc w:val="center"/>
        <w:rPr>
          <w:rFonts w:ascii="Times New Roman" w:hAnsi="Times New Roman"/>
          <w:sz w:val="32"/>
        </w:rPr>
      </w:pPr>
    </w:p>
    <w:p w14:paraId="05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6000000">
      <w:pPr>
        <w:spacing w:after="0" w:line="240" w:lineRule="auto"/>
        <w:ind/>
        <w:rPr>
          <w:rFonts w:ascii="Times New Roman" w:hAnsi="Times New Roman"/>
          <w:b w:val="1"/>
          <w:sz w:val="32"/>
        </w:rPr>
      </w:pPr>
    </w:p>
    <w:p w14:paraId="07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МИНИСТЕРСТВО </w:t>
      </w:r>
      <w:r>
        <w:rPr>
          <w:rFonts w:ascii="Times New Roman" w:hAnsi="Times New Roman"/>
          <w:b w:val="1"/>
          <w:sz w:val="28"/>
        </w:rPr>
        <w:t>ИМУЩЕСТВЕННЫХ</w:t>
      </w:r>
    </w:p>
    <w:p w14:paraId="08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И ЗЕМЕЛЬНЫХ ОТНОШЕНИЙ</w:t>
      </w:r>
    </w:p>
    <w:p w14:paraId="09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0A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0B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ПРИКАЗ</w:t>
      </w:r>
    </w:p>
    <w:p w14:paraId="0C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D000000">
      <w:pPr>
        <w:spacing w:after="0" w:line="240" w:lineRule="auto"/>
        <w:ind w:firstLine="709" w:left="0"/>
        <w:jc w:val="center"/>
        <w:rPr>
          <w:rFonts w:ascii="Times New Roman" w:hAnsi="Times New Roman"/>
          <w:sz w:val="20"/>
        </w:rPr>
      </w:pPr>
    </w:p>
    <w:tbl>
      <w:tblPr>
        <w:tblStyle w:val="Style_2"/>
        <w:tblLayout w:type="fixed"/>
        <w:tblCellMar>
          <w:left w:type="dxa" w:w="0"/>
          <w:right w:type="dxa" w:w="0"/>
        </w:tblCellMar>
      </w:tblPr>
      <w:tblGrid>
        <w:gridCol w:w="4253"/>
      </w:tblGrid>
      <w:tr>
        <w:trPr>
          <w:trHeight w:hRule="atLeast" w:val="232"/>
        </w:trPr>
        <w:tc>
          <w:tcPr>
            <w:tcW w:type="dxa" w:w="4253"/>
            <w:tcBorders>
              <w:top w:sz="4" w:val="nil"/>
              <w:left w:sz="4" w:val="nil"/>
              <w:right w:sz="4" w:val="nil"/>
            </w:tcBorders>
            <w:tcMar>
              <w:left w:type="dxa" w:w="0"/>
              <w:right w:type="dxa" w:w="0"/>
            </w:tcMar>
          </w:tcPr>
          <w:p w14:paraId="0E000000">
            <w:pPr>
              <w:spacing w:after="0" w:line="240" w:lineRule="auto"/>
              <w:ind w:hanging="142" w:left="142"/>
              <w:rPr>
                <w:rFonts w:ascii="Times New Roman" w:hAnsi="Times New Roman"/>
                <w:sz w:val="24"/>
              </w:rPr>
            </w:pPr>
            <w:bookmarkStart w:id="2" w:name="REGNUMDATESTAMP"/>
            <w:r>
              <w:rPr>
                <w:rFonts w:ascii="Times New Roman" w:hAnsi="Times New Roman"/>
                <w:color w:val="FFFFFF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z w:val="24"/>
              </w:rPr>
              <w:t>]</w:t>
            </w:r>
            <w:bookmarkEnd w:id="2"/>
          </w:p>
        </w:tc>
      </w:tr>
      <w:tr>
        <w:trPr>
          <w:trHeight w:hRule="atLeast" w:val="247"/>
        </w:trPr>
        <w:tc>
          <w:tcPr>
            <w:tcW w:type="dxa" w:w="4253"/>
            <w:tcBorders>
              <w:left w:sz="4" w:val="nil"/>
              <w:bottom w:sz="4" w:val="nil"/>
              <w:right w:sz="4" w:val="nil"/>
            </w:tcBorders>
            <w:tcMar>
              <w:left w:type="dxa" w:w="0"/>
              <w:right w:type="dxa" w:w="0"/>
            </w:tcMar>
          </w:tcPr>
          <w:p w14:paraId="0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left w:type="dxa" w:w="0"/>
              <w:right w:type="dxa" w:w="0"/>
            </w:tcMar>
          </w:tcPr>
          <w:p w14:paraId="10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1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3"/>
        <w:tblBorders>
          <w:top w:color="000000" w:sz="4" w:val="nil"/>
          <w:left w:color="000000" w:sz="4" w:val="nil"/>
          <w:bottom w:color="000000" w:sz="4" w:val="nil"/>
          <w:right w:color="000000" w:sz="4" w:val="nil"/>
          <w:insideH w:color="000000" w:sz="4" w:val="nil"/>
          <w:insideV w:color="000000" w:sz="4" w:val="nil"/>
        </w:tblBorders>
        <w:tblLayout w:type="fixed"/>
      </w:tblPr>
      <w:tblGrid>
        <w:gridCol w:w="9637"/>
      </w:tblGrid>
      <w:tr>
        <w:tc>
          <w:tcPr>
            <w:tcW w:type="dxa" w:w="963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00000">
            <w:pPr>
              <w:spacing w:after="0" w:line="240" w:lineRule="auto"/>
              <w:ind w:firstLine="0" w:left="3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Об установлении публичного сервитута в целях размещения </w:t>
            </w:r>
            <w:r>
              <w:rPr>
                <w:rFonts w:ascii="Times New Roman" w:hAnsi="Times New Roman"/>
                <w:b w:val="1"/>
                <w:sz w:val="28"/>
              </w:rPr>
              <w:t>объекта электросетевого хозяйства регионального значения «</w:t>
            </w:r>
            <w:r>
              <w:rPr>
                <w:rFonts w:ascii="Times New Roman" w:hAnsi="Times New Roman"/>
                <w:b w:val="1"/>
                <w:sz w:val="28"/>
              </w:rPr>
              <w:t xml:space="preserve">Сооружение ВЛЭП 35 кВ от ПС 110/35/10 кВ «Кавалерская» до Сооружения ДЭС-6 п. Усть-Большерецк, </w:t>
            </w:r>
            <w:r>
              <w:rPr>
                <w:rFonts w:ascii="Times New Roman" w:hAnsi="Times New Roman"/>
                <w:b w:val="1"/>
                <w:sz w:val="28"/>
              </w:rPr>
              <w:t xml:space="preserve">со строительством ВЛ-35 кВ и реконструкцией ПС 110-35-10 кВ </w:t>
            </w:r>
            <w:r>
              <w:rPr>
                <w:rFonts w:ascii="Times New Roman" w:hAnsi="Times New Roman"/>
                <w:b w:val="1"/>
                <w:sz w:val="28"/>
              </w:rPr>
              <w:t xml:space="preserve"> «Кавалерская» </w:t>
            </w:r>
            <w:r>
              <w:rPr>
                <w:rFonts w:ascii="Times New Roman" w:hAnsi="Times New Roman"/>
                <w:b w:val="1"/>
                <w:sz w:val="28"/>
              </w:rPr>
              <w:t>и Сооружения ДЭС-6 п. Усть-Большерецк»</w:t>
            </w:r>
          </w:p>
        </w:tc>
      </w:tr>
    </w:tbl>
    <w:p w14:paraId="1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со статьей 23, главой V.7 Земельного кодекса Российской Федерации,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Схемой территориального планирования Камчатского края, утвержденной Постановлением Правительства Камчатского края от </w:t>
      </w:r>
      <w:r>
        <w:rPr>
          <w:rFonts w:ascii="Times New Roman" w:hAnsi="Times New Roman"/>
          <w:sz w:val="28"/>
        </w:rPr>
        <w:t>12.12.2022 № 669-П</w:t>
      </w:r>
      <w:r>
        <w:rPr>
          <w:rFonts w:ascii="Times New Roman" w:hAnsi="Times New Roman"/>
          <w:sz w:val="28"/>
        </w:rPr>
        <w:t xml:space="preserve"> с изменениями, внесенными Постановлением Правительства Камчатского края от 21.10.2024 № 506-П,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руководствуясь пунктом 24.3 Положения о Министерстве имущественных и земельных отношений Камчатского кра</w:t>
      </w:r>
      <w:r>
        <w:rPr>
          <w:rFonts w:ascii="Times New Roman" w:hAnsi="Times New Roman"/>
          <w:sz w:val="28"/>
        </w:rPr>
        <w:t xml:space="preserve">я, утвержденного постановлением Правительства Камчатского края от 27.09.2022 № 508-П, </w:t>
      </w:r>
      <w:r>
        <w:rPr>
          <w:rFonts w:ascii="Times New Roman" w:hAnsi="Times New Roman"/>
          <w:sz w:val="28"/>
        </w:rPr>
        <w:t>на основании ходатайства П</w:t>
      </w:r>
      <w:r>
        <w:rPr>
          <w:rFonts w:ascii="Times New Roman" w:hAnsi="Times New Roman"/>
          <w:sz w:val="28"/>
        </w:rPr>
        <w:t>убличного акционерного общества энергетики и электрификации «Камчатскэнерго»</w:t>
      </w:r>
      <w:r>
        <w:rPr>
          <w:rFonts w:ascii="Times New Roman" w:hAnsi="Times New Roman"/>
          <w:sz w:val="28"/>
        </w:rPr>
        <w:t xml:space="preserve"> от 20.02.2025</w:t>
      </w:r>
    </w:p>
    <w:p w14:paraId="1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ПРИКАЗЫВАЮ</w:t>
      </w:r>
      <w:r>
        <w:rPr>
          <w:rFonts w:ascii="Times New Roman" w:hAnsi="Times New Roman"/>
          <w:sz w:val="28"/>
        </w:rPr>
        <w:t>:</w:t>
      </w:r>
    </w:p>
    <w:p w14:paraId="1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9000000">
      <w:pPr>
        <w:numPr>
          <w:numId w:val="1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Установить публичный сервитут </w:t>
      </w:r>
      <w:r>
        <w:rPr>
          <w:rFonts w:ascii="Times New Roman" w:hAnsi="Times New Roman"/>
          <w:sz w:val="28"/>
        </w:rPr>
        <w:t>в пользу П</w:t>
      </w:r>
      <w:r>
        <w:rPr>
          <w:rFonts w:ascii="Times New Roman" w:hAnsi="Times New Roman"/>
          <w:sz w:val="28"/>
        </w:rPr>
        <w:t>убличного акционерного общества энергетики и электрификации «Камчатскэнерго»</w:t>
      </w:r>
      <w:r>
        <w:rPr>
          <w:rFonts w:ascii="Times New Roman" w:hAnsi="Times New Roman"/>
          <w:sz w:val="28"/>
        </w:rPr>
        <w:t xml:space="preserve"> (ОГРН </w:t>
      </w:r>
      <w:r>
        <w:rPr>
          <w:rFonts w:ascii="Times New Roman" w:hAnsi="Times New Roman"/>
          <w:sz w:val="28"/>
        </w:rPr>
        <w:t>1024101024078</w:t>
      </w:r>
      <w:r>
        <w:rPr>
          <w:rFonts w:ascii="Times New Roman" w:hAnsi="Times New Roman"/>
          <w:sz w:val="28"/>
        </w:rPr>
        <w:t xml:space="preserve">, ИНН </w:t>
      </w:r>
      <w:r>
        <w:rPr>
          <w:rFonts w:ascii="Times New Roman" w:hAnsi="Times New Roman"/>
          <w:sz w:val="28"/>
        </w:rPr>
        <w:t>4100000668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, место нахождения: Камчатский край, г.о. Петропавловск-Камчатский, почтовый </w:t>
      </w:r>
      <w:r>
        <w:rPr>
          <w:rFonts w:ascii="Times New Roman" w:hAnsi="Times New Roman"/>
          <w:sz w:val="28"/>
        </w:rPr>
        <w:t xml:space="preserve">адрес: </w:t>
      </w:r>
      <w:r>
        <w:rPr>
          <w:rFonts w:ascii="Times New Roman" w:hAnsi="Times New Roman"/>
          <w:sz w:val="28"/>
        </w:rPr>
        <w:t xml:space="preserve">Камчатский </w:t>
      </w:r>
      <w:r>
        <w:rPr>
          <w:rFonts w:ascii="Times New Roman" w:hAnsi="Times New Roman"/>
          <w:sz w:val="28"/>
        </w:rPr>
        <w:t xml:space="preserve">край, </w:t>
      </w:r>
      <w:r>
        <w:br/>
      </w:r>
      <w:r>
        <w:rPr>
          <w:rFonts w:ascii="Times New Roman" w:hAnsi="Times New Roman"/>
          <w:sz w:val="28"/>
        </w:rPr>
        <w:t xml:space="preserve">г. </w:t>
      </w:r>
      <w:r>
        <w:rPr>
          <w:rFonts w:ascii="Times New Roman" w:hAnsi="Times New Roman"/>
          <w:sz w:val="28"/>
        </w:rPr>
        <w:t>Петропавловск-Камчатский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ул. </w:t>
      </w:r>
      <w:r>
        <w:rPr>
          <w:rFonts w:ascii="Times New Roman" w:hAnsi="Times New Roman"/>
          <w:sz w:val="28"/>
        </w:rPr>
        <w:t>Набережная</w:t>
      </w:r>
      <w:r>
        <w:rPr>
          <w:rFonts w:ascii="Times New Roman" w:hAnsi="Times New Roman"/>
          <w:sz w:val="28"/>
        </w:rPr>
        <w:t xml:space="preserve">, д. </w:t>
      </w:r>
      <w:r>
        <w:rPr>
          <w:rFonts w:ascii="Times New Roman" w:hAnsi="Times New Roman"/>
          <w:sz w:val="28"/>
        </w:rPr>
        <w:t xml:space="preserve">10, </w:t>
      </w:r>
      <w:r>
        <w:rPr>
          <w:rFonts w:ascii="Times New Roman" w:hAnsi="Times New Roman"/>
          <w:sz w:val="28"/>
        </w:rPr>
        <w:t xml:space="preserve">адрес электронной почты: </w:t>
      </w:r>
      <w:r>
        <w:rPr>
          <w:rFonts w:ascii="Times New Roman" w:hAnsi="Times New Roman"/>
          <w:sz w:val="28"/>
        </w:rPr>
        <w:t>sekr1@kamenergo.ru</w:t>
      </w:r>
      <w:r>
        <w:rPr>
          <w:rFonts w:ascii="Times New Roman" w:hAnsi="Times New Roman"/>
          <w:sz w:val="28"/>
        </w:rPr>
        <w:t xml:space="preserve"> (далее – обладатель публичного сервитута)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в целях размещения объекта </w:t>
      </w:r>
      <w:r>
        <w:rPr>
          <w:rFonts w:ascii="Times New Roman" w:hAnsi="Times New Roman"/>
          <w:sz w:val="28"/>
        </w:rPr>
        <w:t>электросетевого хозяйства</w:t>
      </w:r>
      <w:r>
        <w:rPr>
          <w:rFonts w:ascii="Times New Roman" w:hAnsi="Times New Roman"/>
          <w:sz w:val="28"/>
        </w:rPr>
        <w:t xml:space="preserve"> регионального значения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 w:val="0"/>
          <w:sz w:val="28"/>
        </w:rPr>
        <w:t>«</w:t>
      </w:r>
      <w:r>
        <w:rPr>
          <w:rFonts w:ascii="Times New Roman" w:hAnsi="Times New Roman"/>
          <w:b w:val="0"/>
          <w:sz w:val="28"/>
        </w:rPr>
        <w:t xml:space="preserve">Сооружение ВЛЭП 35 кВ от ПС 110/35/10 кВ «Кавалерская» до Сооружения ДЭС-6 п. Усть-Большерецк, </w:t>
      </w:r>
      <w:r>
        <w:rPr>
          <w:rFonts w:ascii="Times New Roman" w:hAnsi="Times New Roman"/>
          <w:b w:val="0"/>
          <w:sz w:val="28"/>
        </w:rPr>
        <w:t>со строительством ВЛ-35 кВ и реконструкцией ПС 110-35-10 кВ «</w:t>
      </w:r>
      <w:r>
        <w:rPr>
          <w:rFonts w:ascii="Times New Roman" w:hAnsi="Times New Roman"/>
          <w:b w:val="0"/>
          <w:sz w:val="28"/>
        </w:rPr>
        <w:t xml:space="preserve">Кавалерская» </w:t>
      </w:r>
      <w:r>
        <w:rPr>
          <w:rFonts w:ascii="Times New Roman" w:hAnsi="Times New Roman"/>
          <w:b w:val="0"/>
          <w:sz w:val="28"/>
        </w:rPr>
        <w:t>и Сооружения ДЭС-6 п. Усть-Большерецк»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(далее – публичный сервитут),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отношени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земель и следующих земельных участков:</w:t>
      </w:r>
    </w:p>
    <w:p w14:paraId="1A000000">
      <w:pPr>
        <w:numPr>
          <w:numId w:val="2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 кадастровым номером </w:t>
      </w:r>
      <w:r>
        <w:rPr>
          <w:rFonts w:ascii="Times New Roman" w:hAnsi="Times New Roman"/>
          <w:sz w:val="28"/>
        </w:rPr>
        <w:t xml:space="preserve">41:08:0000000:7, адрес (местоположение): </w:t>
      </w:r>
      <w:r>
        <w:rPr>
          <w:rFonts w:ascii="Times New Roman" w:hAnsi="Times New Roman"/>
          <w:sz w:val="28"/>
        </w:rPr>
        <w:t>Камчатский край, р-н Усть-Большерецкий</w:t>
      </w:r>
      <w:r>
        <w:rPr>
          <w:rFonts w:ascii="Times New Roman" w:hAnsi="Times New Roman"/>
          <w:sz w:val="28"/>
        </w:rPr>
        <w:t>;</w:t>
      </w:r>
    </w:p>
    <w:p w14:paraId="1B000000">
      <w:pPr>
        <w:numPr>
          <w:numId w:val="2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 кадастровым номером </w:t>
      </w:r>
      <w:r>
        <w:rPr>
          <w:rFonts w:ascii="Times New Roman" w:hAnsi="Times New Roman"/>
          <w:sz w:val="28"/>
        </w:rPr>
        <w:t>41:08:0000000:15 (Единое землепользование), адрес (местоположение):</w:t>
      </w:r>
      <w:r>
        <w:rPr>
          <w:rFonts w:ascii="Times New Roman" w:hAnsi="Times New Roman"/>
          <w:sz w:val="28"/>
        </w:rPr>
        <w:t xml:space="preserve"> ме</w:t>
      </w:r>
      <w:r>
        <w:rPr>
          <w:rFonts w:ascii="Times New Roman" w:hAnsi="Times New Roman"/>
          <w:sz w:val="28"/>
        </w:rPr>
        <w:t xml:space="preserve">стоположение установлено относительно ориентира, расположенного за пределами участка. Ориентир </w:t>
      </w:r>
      <w:r>
        <w:rPr>
          <w:rFonts w:ascii="Times New Roman" w:hAnsi="Times New Roman"/>
          <w:sz w:val="28"/>
        </w:rPr>
        <w:t xml:space="preserve">жилой дом. Участок находится примерно в 5000 м, по направлению на юго-запад от ориентира. Почтовый </w:t>
      </w:r>
      <w:r>
        <w:rPr>
          <w:rFonts w:ascii="Times New Roman" w:hAnsi="Times New Roman"/>
          <w:sz w:val="28"/>
        </w:rPr>
        <w:t>адрес ориентира: Камчатский край, р-н. Усть-Большерецкий, с. Кавалерское, ул. Рябикова, д. 25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в составе обособленного (условного) участка с кадастровым номеро</w:t>
      </w:r>
      <w:r>
        <w:rPr>
          <w:rFonts w:ascii="Times New Roman" w:hAnsi="Times New Roman"/>
          <w:sz w:val="28"/>
        </w:rPr>
        <w:t>м: 41:08:0010101:363</w:t>
      </w:r>
      <w:r>
        <w:rPr>
          <w:rFonts w:ascii="Times New Roman" w:hAnsi="Times New Roman"/>
          <w:sz w:val="28"/>
        </w:rPr>
        <w:t>;</w:t>
      </w:r>
    </w:p>
    <w:p w14:paraId="1C000000">
      <w:pPr>
        <w:numPr>
          <w:numId w:val="2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 кадастровым номером </w:t>
      </w:r>
      <w:r>
        <w:rPr>
          <w:rFonts w:ascii="Times New Roman" w:hAnsi="Times New Roman"/>
          <w:sz w:val="28"/>
        </w:rPr>
        <w:t xml:space="preserve">41:08:0000000:17 (Единое землепользование), адрес (местоположение): </w:t>
      </w:r>
      <w:r>
        <w:rPr>
          <w:rFonts w:ascii="Times New Roman" w:hAnsi="Times New Roman"/>
          <w:sz w:val="28"/>
        </w:rPr>
        <w:t>Камчатский край, р-н. Усть-Большерецкий, под автодо</w:t>
      </w:r>
      <w:r>
        <w:rPr>
          <w:rFonts w:ascii="Times New Roman" w:hAnsi="Times New Roman"/>
          <w:sz w:val="28"/>
        </w:rPr>
        <w:t>рогой Начикинский совхоз – с. Усть-Большерецк – пос. Октябрьский (от 21-го км. до пос. Октябрьский) в составе обособленного (условного) участка с кадастровым номером: 41:08:0010101:766</w:t>
      </w:r>
      <w:r>
        <w:rPr>
          <w:rFonts w:ascii="Times New Roman" w:hAnsi="Times New Roman"/>
          <w:sz w:val="28"/>
        </w:rPr>
        <w:t>;</w:t>
      </w:r>
    </w:p>
    <w:p w14:paraId="1D000000">
      <w:pPr>
        <w:numPr>
          <w:numId w:val="2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 кадастровым номером </w:t>
      </w:r>
      <w:r>
        <w:rPr>
          <w:rFonts w:ascii="Times New Roman" w:hAnsi="Times New Roman"/>
          <w:sz w:val="28"/>
        </w:rPr>
        <w:t xml:space="preserve">41:08:0000000:18 (Единое землепользование), адрес (местоположение): </w:t>
      </w:r>
      <w:r>
        <w:rPr>
          <w:rFonts w:ascii="Times New Roman" w:hAnsi="Times New Roman"/>
          <w:sz w:val="28"/>
        </w:rPr>
        <w:t>Камчатский край, р-н. Усть-Большерецкий, под автодо</w:t>
      </w:r>
      <w:r>
        <w:rPr>
          <w:rFonts w:ascii="Times New Roman" w:hAnsi="Times New Roman"/>
          <w:sz w:val="28"/>
        </w:rPr>
        <w:t xml:space="preserve">рогой Начикинский совхоз – с. Усть-Большерецк – пос. Октябрьский (от 21-го км. до пос. Октябрьский) в составе обособленных (условных) участков с кадастровыми номерами: 41:08:0010106:233, </w:t>
      </w:r>
      <w:r>
        <w:rPr>
          <w:rFonts w:ascii="Times New Roman" w:hAnsi="Times New Roman"/>
          <w:sz w:val="28"/>
        </w:rPr>
        <w:t>41:08:0010103:296</w:t>
      </w:r>
      <w:r>
        <w:rPr>
          <w:rFonts w:ascii="Times New Roman" w:hAnsi="Times New Roman"/>
          <w:sz w:val="28"/>
        </w:rPr>
        <w:t>;</w:t>
      </w:r>
    </w:p>
    <w:p w14:paraId="1E000000">
      <w:pPr>
        <w:numPr>
          <w:numId w:val="2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 xml:space="preserve"> кадастровым номером </w:t>
      </w:r>
      <w:r>
        <w:rPr>
          <w:rFonts w:ascii="Times New Roman" w:hAnsi="Times New Roman"/>
          <w:sz w:val="28"/>
        </w:rPr>
        <w:t>41:08:0010101:142 (Единое землепользование), адрес (местоположение): м</w:t>
      </w:r>
      <w:r>
        <w:rPr>
          <w:rFonts w:ascii="Times New Roman" w:hAnsi="Times New Roman"/>
          <w:sz w:val="28"/>
        </w:rPr>
        <w:t xml:space="preserve">естоположение установлено относительно ориентира, расположенного за пределами участка. Ориентир </w:t>
      </w:r>
      <w:r>
        <w:rPr>
          <w:rFonts w:ascii="Times New Roman" w:hAnsi="Times New Roman"/>
          <w:sz w:val="28"/>
        </w:rPr>
        <w:t xml:space="preserve">здание ДЭС-6. Участок находится примерно в 4500 м, по направлению на северо-восток от ориентира. </w:t>
      </w:r>
      <w:r>
        <w:rPr>
          <w:rFonts w:ascii="Times New Roman" w:hAnsi="Times New Roman"/>
          <w:sz w:val="28"/>
        </w:rPr>
        <w:t xml:space="preserve">Почтовый адрес ориентира: Камчатский край,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р-н. Усть-Большерецкий, с. Усть-Большерецк, ул. Садовая, д. </w:t>
      </w:r>
      <w:r>
        <w:rPr>
          <w:rFonts w:ascii="Times New Roman" w:hAnsi="Times New Roman"/>
          <w:sz w:val="28"/>
        </w:rPr>
        <w:t>13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в составе обособленных (условных) участков с кадастровыми номерами: 41:08:0010101:157, </w:t>
      </w:r>
      <w:r>
        <w:rPr>
          <w:rFonts w:ascii="Times New Roman" w:hAnsi="Times New Roman"/>
          <w:sz w:val="28"/>
        </w:rPr>
        <w:t xml:space="preserve">41:08:0010101:176, </w:t>
      </w:r>
      <w:r>
        <w:rPr>
          <w:rFonts w:ascii="Times New Roman" w:hAnsi="Times New Roman"/>
          <w:sz w:val="28"/>
        </w:rPr>
        <w:t xml:space="preserve">41:08:0010101:192, </w:t>
      </w:r>
      <w:r>
        <w:rPr>
          <w:rFonts w:ascii="Times New Roman" w:hAnsi="Times New Roman"/>
          <w:sz w:val="28"/>
        </w:rPr>
        <w:t xml:space="preserve">41:08:0010101:193, </w:t>
      </w:r>
      <w:r>
        <w:rPr>
          <w:rFonts w:ascii="Times New Roman" w:hAnsi="Times New Roman"/>
          <w:sz w:val="28"/>
        </w:rPr>
        <w:t>41:08:0010101:194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41:08:0010101:195, </w:t>
      </w:r>
      <w:r>
        <w:rPr>
          <w:rFonts w:ascii="Times New Roman" w:hAnsi="Times New Roman"/>
          <w:sz w:val="28"/>
        </w:rPr>
        <w:t xml:space="preserve">41:08:0010101:196, </w:t>
      </w:r>
      <w:r>
        <w:rPr>
          <w:rFonts w:ascii="Times New Roman" w:hAnsi="Times New Roman"/>
          <w:sz w:val="28"/>
        </w:rPr>
        <w:t xml:space="preserve">41:08:0010101:197, </w:t>
      </w:r>
      <w:r>
        <w:rPr>
          <w:rFonts w:ascii="Times New Roman" w:hAnsi="Times New Roman"/>
          <w:sz w:val="28"/>
        </w:rPr>
        <w:t xml:space="preserve">41:08:0010101:200, </w:t>
      </w:r>
      <w:r>
        <w:rPr>
          <w:rFonts w:ascii="Times New Roman" w:hAnsi="Times New Roman"/>
          <w:sz w:val="28"/>
        </w:rPr>
        <w:t xml:space="preserve">41:08:0010101:201, </w:t>
      </w:r>
      <w:r>
        <w:rPr>
          <w:rFonts w:ascii="Times New Roman" w:hAnsi="Times New Roman"/>
          <w:sz w:val="28"/>
        </w:rPr>
        <w:t xml:space="preserve">41:08:0010101:202, </w:t>
      </w:r>
      <w:r>
        <w:rPr>
          <w:rFonts w:ascii="Times New Roman" w:hAnsi="Times New Roman"/>
          <w:sz w:val="28"/>
        </w:rPr>
        <w:t xml:space="preserve">41:08:0010101:203, </w:t>
      </w:r>
      <w:r>
        <w:rPr>
          <w:rFonts w:ascii="Times New Roman" w:hAnsi="Times New Roman"/>
          <w:sz w:val="28"/>
        </w:rPr>
        <w:t>41:08:0010101:204;</w:t>
      </w:r>
    </w:p>
    <w:p w14:paraId="1F000000">
      <w:pPr>
        <w:numPr>
          <w:numId w:val="2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 xml:space="preserve"> кадастровым номером </w:t>
      </w:r>
      <w:r>
        <w:rPr>
          <w:rFonts w:ascii="Times New Roman" w:hAnsi="Times New Roman"/>
          <w:sz w:val="28"/>
        </w:rPr>
        <w:t>41:08:0010101:325 (Единое землепользование), адрес (местоположение): м</w:t>
      </w:r>
      <w:r>
        <w:rPr>
          <w:rFonts w:ascii="Times New Roman" w:hAnsi="Times New Roman"/>
          <w:sz w:val="28"/>
        </w:rPr>
        <w:t xml:space="preserve">естоположение установлено относительно ориентира, расположенного за пределами участка. Ориентир </w:t>
      </w:r>
      <w:r>
        <w:rPr>
          <w:rFonts w:ascii="Times New Roman" w:hAnsi="Times New Roman"/>
          <w:sz w:val="28"/>
        </w:rPr>
        <w:t xml:space="preserve">здание ДЭС-6. Участок находится примерно в 400 м, по направлению на северо-восток от ориентира. </w:t>
      </w:r>
      <w:r>
        <w:rPr>
          <w:rFonts w:ascii="Times New Roman" w:hAnsi="Times New Roman"/>
          <w:sz w:val="28"/>
        </w:rPr>
        <w:t xml:space="preserve">Почтовый адрес ориентира: Камчатский край, р-н Усть-Большерецкий, с Усть-Большерецк, ул. Садовая, д. </w:t>
      </w:r>
      <w:r>
        <w:rPr>
          <w:rFonts w:ascii="Times New Roman" w:hAnsi="Times New Roman"/>
          <w:sz w:val="28"/>
        </w:rPr>
        <w:t>13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в составе обособленных (условных) участков с кадастровыми номерами: 41:08:0010101:335, </w:t>
      </w:r>
      <w:r>
        <w:rPr>
          <w:rFonts w:ascii="Times New Roman" w:hAnsi="Times New Roman"/>
          <w:sz w:val="28"/>
        </w:rPr>
        <w:t xml:space="preserve">41:08:0010101:336, </w:t>
      </w:r>
      <w:r>
        <w:rPr>
          <w:rFonts w:ascii="Times New Roman" w:hAnsi="Times New Roman"/>
          <w:sz w:val="28"/>
        </w:rPr>
        <w:t xml:space="preserve">41:08:0010101:337, </w:t>
      </w:r>
      <w:r>
        <w:rPr>
          <w:rFonts w:ascii="Times New Roman" w:hAnsi="Times New Roman"/>
          <w:sz w:val="28"/>
        </w:rPr>
        <w:t xml:space="preserve">41:08:0010101:338, </w:t>
      </w:r>
      <w:r>
        <w:rPr>
          <w:rFonts w:ascii="Times New Roman" w:hAnsi="Times New Roman"/>
          <w:sz w:val="28"/>
        </w:rPr>
        <w:t xml:space="preserve">41:08:0010101:339, </w:t>
      </w:r>
      <w:r>
        <w:rPr>
          <w:rFonts w:ascii="Times New Roman" w:hAnsi="Times New Roman"/>
          <w:sz w:val="28"/>
        </w:rPr>
        <w:t xml:space="preserve">41:08:0010101:340, </w:t>
      </w:r>
      <w:r>
        <w:rPr>
          <w:rFonts w:ascii="Times New Roman" w:hAnsi="Times New Roman"/>
          <w:sz w:val="28"/>
        </w:rPr>
        <w:t xml:space="preserve">41:08:0010101:341, </w:t>
      </w:r>
      <w:r>
        <w:rPr>
          <w:rFonts w:ascii="Times New Roman" w:hAnsi="Times New Roman"/>
          <w:sz w:val="28"/>
        </w:rPr>
        <w:t xml:space="preserve">41:08:0010101:342, </w:t>
      </w:r>
      <w:r>
        <w:rPr>
          <w:rFonts w:ascii="Times New Roman" w:hAnsi="Times New Roman"/>
          <w:sz w:val="28"/>
        </w:rPr>
        <w:t xml:space="preserve">41:08:0010101:343, </w:t>
      </w:r>
      <w:r>
        <w:rPr>
          <w:rFonts w:ascii="Times New Roman" w:hAnsi="Times New Roman"/>
          <w:sz w:val="28"/>
        </w:rPr>
        <w:t xml:space="preserve">41:08:0010101:344, </w:t>
      </w:r>
      <w:r>
        <w:rPr>
          <w:rFonts w:ascii="Times New Roman" w:hAnsi="Times New Roman"/>
          <w:sz w:val="28"/>
        </w:rPr>
        <w:t xml:space="preserve">41:08:0010101:345, </w:t>
      </w:r>
      <w:r>
        <w:rPr>
          <w:rFonts w:ascii="Times New Roman" w:hAnsi="Times New Roman"/>
          <w:sz w:val="28"/>
        </w:rPr>
        <w:t>41:08:0010101:346;</w:t>
      </w:r>
    </w:p>
    <w:p w14:paraId="20000000">
      <w:pPr>
        <w:numPr>
          <w:numId w:val="2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 кадастровым номером </w:t>
      </w:r>
      <w:r>
        <w:rPr>
          <w:rFonts w:ascii="Times New Roman" w:hAnsi="Times New Roman"/>
          <w:sz w:val="28"/>
        </w:rPr>
        <w:t>41:08:0010106:52, адрес (местоположение): м</w:t>
      </w:r>
      <w:r>
        <w:rPr>
          <w:rFonts w:ascii="Times New Roman" w:hAnsi="Times New Roman"/>
          <w:sz w:val="28"/>
        </w:rPr>
        <w:t xml:space="preserve">естоположение установлено относительно ориентира, расположенного за пределами участка. Ориентир </w:t>
      </w:r>
      <w:r>
        <w:rPr>
          <w:rFonts w:ascii="Times New Roman" w:hAnsi="Times New Roman"/>
          <w:sz w:val="28"/>
        </w:rPr>
        <w:t xml:space="preserve">здание дома культуры. Участок находится примерно в 455 м, по направлению на северо-запад от ориентира. </w:t>
      </w:r>
      <w:r>
        <w:rPr>
          <w:rFonts w:ascii="Times New Roman" w:hAnsi="Times New Roman"/>
          <w:sz w:val="28"/>
        </w:rPr>
        <w:t>Почтовый адрес ориентира: Камчатский край, р-н. Усть-Большерецкий, с. Кавалерское, ул. Блюхера, д. 23;</w:t>
      </w:r>
    </w:p>
    <w:p w14:paraId="21000000">
      <w:pPr>
        <w:numPr>
          <w:numId w:val="2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 кадастровым номером </w:t>
      </w:r>
      <w:r>
        <w:rPr>
          <w:rFonts w:ascii="Times New Roman" w:hAnsi="Times New Roman"/>
          <w:sz w:val="28"/>
        </w:rPr>
        <w:t>41:08:0010106:187 (Единое землепользование), адрес (местоположение): м</w:t>
      </w:r>
      <w:r>
        <w:rPr>
          <w:rFonts w:ascii="Times New Roman" w:hAnsi="Times New Roman"/>
          <w:sz w:val="28"/>
        </w:rPr>
        <w:t xml:space="preserve">естоположение установлено относительно ориентира, расположенного за пределами участка. Ориентир </w:t>
      </w:r>
      <w:r>
        <w:rPr>
          <w:rFonts w:ascii="Times New Roman" w:hAnsi="Times New Roman"/>
          <w:sz w:val="28"/>
        </w:rPr>
        <w:t xml:space="preserve">жилой дом. Участок находится примерно в 340 м, по направлению на северо-запад от ориентира. Почтовый </w:t>
      </w:r>
      <w:r>
        <w:rPr>
          <w:rFonts w:ascii="Times New Roman" w:hAnsi="Times New Roman"/>
          <w:sz w:val="28"/>
        </w:rPr>
        <w:t xml:space="preserve">адрес ориентира: </w:t>
      </w:r>
      <w:r>
        <w:rPr>
          <w:rFonts w:ascii="Times New Roman" w:hAnsi="Times New Roman"/>
          <w:sz w:val="28"/>
        </w:rPr>
        <w:t xml:space="preserve">Камчатский край, р-н Усть-Большерецкий, с Кавалерское, ул. </w:t>
      </w:r>
      <w:r>
        <w:rPr>
          <w:rFonts w:ascii="Times New Roman" w:hAnsi="Times New Roman"/>
          <w:sz w:val="28"/>
        </w:rPr>
        <w:t>Рябикова, д. 25</w:t>
      </w:r>
      <w:r>
        <w:rPr>
          <w:rFonts w:ascii="Times New Roman" w:hAnsi="Times New Roman"/>
          <w:sz w:val="28"/>
        </w:rPr>
        <w:t xml:space="preserve">, в составе обособленного (условного) участка с кадастровым номером: </w:t>
      </w:r>
      <w:r>
        <w:rPr>
          <w:rFonts w:ascii="Times New Roman" w:hAnsi="Times New Roman"/>
          <w:sz w:val="28"/>
        </w:rPr>
        <w:t>41:08:0010106:228</w:t>
      </w:r>
      <w:r>
        <w:rPr>
          <w:rFonts w:ascii="Times New Roman" w:hAnsi="Times New Roman"/>
          <w:color w:val="000000"/>
          <w:sz w:val="28"/>
        </w:rPr>
        <w:t>.</w:t>
      </w:r>
    </w:p>
    <w:p w14:paraId="22000000">
      <w:pPr>
        <w:spacing w:after="0" w:line="228" w:lineRule="auto"/>
        <w:ind w:firstLine="709" w:left="0"/>
        <w:jc w:val="both"/>
        <w:rPr>
          <w:rFonts w:ascii="Times New Roman" w:hAnsi="Times New Roman"/>
          <w:color w:val="000000"/>
          <w:spacing w:val="-2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Утвердить границы публичного сервитута</w:t>
      </w:r>
      <w:r>
        <w:rPr>
          <w:rFonts w:ascii="Times New Roman" w:hAnsi="Times New Roman"/>
          <w:sz w:val="28"/>
        </w:rPr>
        <w:t xml:space="preserve"> согласно приложению к настоящему приказу.</w:t>
      </w:r>
    </w:p>
    <w:p w14:paraId="23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Определить, что публичный сервитут устанавливается на срок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49 лет со дня внесения сведений о нём в Единый государственный реестр недвижимости.</w:t>
      </w:r>
    </w:p>
    <w:p w14:paraId="24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Публичный сервитут устанавливается в целях размещения инженерного сооружения</w:t>
      </w:r>
      <w:r>
        <w:rPr>
          <w:rFonts w:ascii="Times New Roman" w:hAnsi="Times New Roman"/>
          <w:sz w:val="28"/>
        </w:rPr>
        <w:t xml:space="preserve">, требующего установления зон с особыми условиями использования территории. </w:t>
      </w:r>
      <w:r>
        <w:rPr>
          <w:rFonts w:ascii="Times New Roman" w:hAnsi="Times New Roman"/>
          <w:sz w:val="28"/>
        </w:rPr>
        <w:t xml:space="preserve">Нормативный акт, определяющий порядок установления зон с особыми условиями использования территории и содержание ограничений прав на земельные участки в границах таких зон – </w:t>
      </w:r>
      <w:r>
        <w:rPr>
          <w:rFonts w:ascii="Times New Roman" w:hAnsi="Times New Roman"/>
          <w:sz w:val="28"/>
        </w:rPr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утвержденные постановлением Правительства Российской Федерации </w:t>
      </w:r>
      <w:r>
        <w:rPr>
          <w:rFonts w:ascii="Times New Roman" w:hAnsi="Times New Roman"/>
          <w:sz w:val="28"/>
        </w:rPr>
        <w:t>от 24.02.2009 № 160.</w:t>
      </w:r>
    </w:p>
    <w:p w14:paraId="25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Плата за публичный сервитут </w:t>
      </w:r>
      <w:r>
        <w:rPr>
          <w:rFonts w:ascii="Times New Roman" w:hAnsi="Times New Roman"/>
          <w:sz w:val="28"/>
        </w:rPr>
        <w:t>рассчитывается пропорционально площади земельного участка</w:t>
      </w:r>
      <w:r>
        <w:rPr>
          <w:rFonts w:ascii="Times New Roman" w:hAnsi="Times New Roman"/>
          <w:sz w:val="28"/>
        </w:rPr>
        <w:t xml:space="preserve"> и (или) земель в установленных границах публичного сервитута.</w:t>
      </w:r>
    </w:p>
    <w:p w14:paraId="26000000">
      <w:pPr>
        <w:spacing w:after="0" w:line="264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Плата за публичный сервитут в отношении земельного участка, находящегося в государственной или муниципальной собственности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 не обремененного правами третьих лиц, устанавливается в размере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0,01 процента када</w:t>
      </w:r>
      <w:r>
        <w:rPr>
          <w:rFonts w:ascii="Times New Roman" w:hAnsi="Times New Roman"/>
          <w:sz w:val="28"/>
        </w:rPr>
        <w:t>стровой стоимости такого земельного участка за каждый год использования этого земельного участка. При этом плата за публичный сервитут, установленный на три года и более, не может быть менее чем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0,1 процента кадастровой стоимости земельного участка, обреме</w:t>
      </w:r>
      <w:r>
        <w:rPr>
          <w:rFonts w:ascii="Times New Roman" w:hAnsi="Times New Roman"/>
          <w:sz w:val="28"/>
        </w:rPr>
        <w:t>ненного сервитутом, за весь срок сервитута.</w:t>
      </w:r>
    </w:p>
    <w:p w14:paraId="27000000">
      <w:pPr>
        <w:spacing w:after="0" w:line="264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Если в отношении земельных участков</w:t>
      </w:r>
      <w:r>
        <w:rPr>
          <w:rFonts w:ascii="Times New Roman" w:hAnsi="Times New Roman"/>
          <w:sz w:val="28"/>
        </w:rPr>
        <w:t xml:space="preserve"> и (или) земель кадастровая стоимость не определена, размер платы за публичный сервитут рассчитывается в соответствии с частями 5</w:t>
      </w:r>
      <w:r>
        <w:rPr>
          <w:rFonts w:ascii="Times New Roman" w:hAnsi="Times New Roman"/>
          <w:sz w:val="28"/>
        </w:rPr>
        <w:t xml:space="preserve"> и 6 настоящего приказа исходя из среднего уровня кадастровой стоимости земельных участков по муниципальному району (муниципальному округу, городско</w:t>
      </w:r>
      <w:r>
        <w:rPr>
          <w:rFonts w:ascii="Times New Roman" w:hAnsi="Times New Roman"/>
          <w:sz w:val="28"/>
        </w:rPr>
        <w:t>му округу).</w:t>
      </w:r>
    </w:p>
    <w:p w14:paraId="28000000">
      <w:pPr>
        <w:spacing w:after="0" w:line="264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Плата за публичный сервитут, установленный в отношении земельных участков и (или) земель, находящихся </w:t>
      </w:r>
      <w:r>
        <w:rPr>
          <w:rFonts w:ascii="Times New Roman" w:hAnsi="Times New Roman"/>
          <w:sz w:val="28"/>
        </w:rPr>
        <w:t xml:space="preserve">в государственной или муниципальной собственности </w:t>
      </w:r>
      <w:r>
        <w:rPr>
          <w:rFonts w:ascii="Times New Roman" w:hAnsi="Times New Roman"/>
          <w:sz w:val="28"/>
        </w:rPr>
        <w:t>и не обремененных правами третьих лиц,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вносится обладателем публичного сервитута единовременным платежом не позднее шести месяцев со дня принятия решения об установлении публичного </w:t>
      </w:r>
      <w:r>
        <w:rPr>
          <w:rFonts w:ascii="Times New Roman" w:hAnsi="Times New Roman"/>
          <w:sz w:val="28"/>
        </w:rPr>
        <w:t xml:space="preserve">сервитута с указанием </w:t>
      </w:r>
      <w:r>
        <w:rPr>
          <w:rFonts w:ascii="Times New Roman" w:hAnsi="Times New Roman"/>
          <w:sz w:val="28"/>
        </w:rPr>
        <w:t>в назначении платежа реквизитов настоящего приказа.</w:t>
      </w:r>
    </w:p>
    <w:p w14:paraId="29000000">
      <w:pPr>
        <w:spacing w:after="0" w:line="264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Срок, в течении которого использование </w:t>
      </w:r>
      <w:r>
        <w:rPr>
          <w:rFonts w:ascii="Times New Roman" w:hAnsi="Times New Roman"/>
          <w:sz w:val="28"/>
        </w:rPr>
        <w:t xml:space="preserve">попадающих в границы публичного сервитута </w:t>
      </w:r>
      <w:r>
        <w:rPr>
          <w:rFonts w:ascii="Times New Roman" w:hAnsi="Times New Roman"/>
          <w:sz w:val="28"/>
        </w:rPr>
        <w:t>частей земельных участков в соответствии с их разрешенным использованием будет невозможно или существенно затруднено в связи с осуществлением деятельности, для обеспечения которой устанавливается публичный сервитут, – 12 месяцев.</w:t>
      </w:r>
    </w:p>
    <w:p w14:paraId="2A000000">
      <w:pPr>
        <w:spacing w:after="0" w:line="264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График проведения работ при осуществлении деятельности,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для обеспечения к</w:t>
      </w:r>
      <w:r>
        <w:rPr>
          <w:rFonts w:ascii="Times New Roman" w:hAnsi="Times New Roman"/>
          <w:sz w:val="28"/>
        </w:rPr>
        <w:t xml:space="preserve">оторой устанавливается публичный сервитут, в отношении земель или земельных участков, находящихся в государственной или муниципальной собственности </w:t>
      </w:r>
      <w:r>
        <w:rPr>
          <w:rFonts w:ascii="Times New Roman" w:hAnsi="Times New Roman"/>
          <w:sz w:val="28"/>
        </w:rPr>
        <w:t>и не предоставленных гражданам или юридическим лицам</w:t>
      </w:r>
      <w:r>
        <w:rPr>
          <w:rFonts w:ascii="Times New Roman" w:hAnsi="Times New Roman"/>
          <w:sz w:val="28"/>
        </w:rPr>
        <w:t>: на период выполнения строительно-монтажных работ ежедневно</w:t>
      </w:r>
      <w:r>
        <w:rPr>
          <w:rFonts w:ascii="Times New Roman" w:hAnsi="Times New Roman"/>
          <w:sz w:val="28"/>
        </w:rPr>
        <w:t xml:space="preserve">, при эксплуатации в случае аварий </w:t>
      </w:r>
      <w:r>
        <w:rPr>
          <w:rFonts w:ascii="Times New Roman" w:hAnsi="Times New Roman"/>
          <w:sz w:val="28"/>
        </w:rPr>
        <w:t xml:space="preserve">или осуществлении профилактических контрольных осмотров – ежегодно </w:t>
      </w:r>
      <w:r>
        <w:rPr>
          <w:rFonts w:ascii="Times New Roman" w:hAnsi="Times New Roman"/>
          <w:sz w:val="28"/>
        </w:rPr>
        <w:t>с 01 января по 31 декабря.</w:t>
      </w:r>
    </w:p>
    <w:p w14:paraId="2B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Обладатель публичного сервитута обязан:</w:t>
      </w:r>
    </w:p>
    <w:p w14:paraId="2C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привести земельный участок в состояние, пригодное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для его использования в соответствии с разрешенным использованием, в срок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не позд</w:t>
      </w:r>
      <w:r>
        <w:rPr>
          <w:rFonts w:ascii="Times New Roman" w:hAnsi="Times New Roman"/>
          <w:sz w:val="28"/>
        </w:rPr>
        <w:t xml:space="preserve">нее чем три месяца после завершения строительства, капитального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или текущего ремонта, реконструкции, эксплуатации, консервации,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сноса инженерного сооружения, для размещения которого был установлен публичный сервитут;</w:t>
      </w:r>
    </w:p>
    <w:p w14:paraId="2D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снести объекты, размещенные им н</w:t>
      </w:r>
      <w:r>
        <w:rPr>
          <w:rFonts w:ascii="Times New Roman" w:hAnsi="Times New Roman"/>
          <w:sz w:val="28"/>
        </w:rPr>
        <w:t>а основании публичного сервитута, и осуществить при необходимости рекультивацию земельного участка в срок не позднее чем шесть месяцев с момента прекращения публичного сервитута.</w:t>
      </w:r>
    </w:p>
    <w:p w14:paraId="2E000000">
      <w:pPr>
        <w:spacing w:after="0" w:line="228" w:lineRule="auto"/>
        <w:ind w:firstLine="709" w:left="0"/>
        <w:contextualSpacing w:val="1"/>
        <w:jc w:val="both"/>
        <w:rPr>
          <w:rFonts w:ascii="Times New Roman" w:hAnsi="Times New Roman"/>
          <w:i w:val="0"/>
          <w:sz w:val="28"/>
        </w:rPr>
      </w:pPr>
      <w:r>
        <w:rPr>
          <w:rFonts w:ascii="Times New Roman" w:hAnsi="Times New Roman"/>
          <w:sz w:val="28"/>
        </w:rPr>
        <w:t>12.</w:t>
      </w:r>
      <w:r>
        <w:rPr>
          <w:rFonts w:ascii="Times New Roman" w:hAnsi="Times New Roman"/>
          <w:i w:val="0"/>
          <w:sz w:val="28"/>
        </w:rPr>
        <w:tab/>
      </w:r>
      <w:r>
        <w:rPr>
          <w:rFonts w:ascii="Times New Roman" w:hAnsi="Times New Roman"/>
          <w:i w:val="0"/>
          <w:sz w:val="28"/>
        </w:rPr>
        <w:t>Отделу</w:t>
      </w:r>
      <w:r>
        <w:rPr>
          <w:rFonts w:ascii="Times New Roman" w:hAnsi="Times New Roman"/>
          <w:i w:val="0"/>
          <w:sz w:val="28"/>
        </w:rPr>
        <w:t xml:space="preserve"> земельных отношений </w:t>
      </w:r>
      <w:r>
        <w:rPr>
          <w:rFonts w:ascii="Times New Roman" w:hAnsi="Times New Roman"/>
          <w:i w:val="0"/>
          <w:sz w:val="28"/>
        </w:rPr>
        <w:t>Министерства имущественных и земельных отношений Камчатского края</w:t>
      </w:r>
      <w:r>
        <w:rPr>
          <w:rFonts w:ascii="Times New Roman" w:hAnsi="Times New Roman"/>
          <w:i w:val="0"/>
          <w:sz w:val="28"/>
        </w:rPr>
        <w:t xml:space="preserve"> </w:t>
      </w:r>
      <w:r>
        <w:rPr>
          <w:rFonts w:ascii="Times New Roman" w:hAnsi="Times New Roman"/>
          <w:i w:val="0"/>
          <w:sz w:val="28"/>
        </w:rPr>
        <w:t>обеспечить</w:t>
      </w:r>
      <w:r>
        <w:rPr>
          <w:rFonts w:ascii="Times New Roman" w:hAnsi="Times New Roman"/>
          <w:i w:val="0"/>
          <w:sz w:val="28"/>
        </w:rPr>
        <w:t>:</w:t>
      </w:r>
    </w:p>
    <w:p w14:paraId="2F000000">
      <w:pPr>
        <w:numPr>
          <w:numId w:val="3"/>
        </w:numPr>
        <w:spacing w:after="0" w:line="228" w:lineRule="auto"/>
        <w:ind w:firstLine="709" w:left="0"/>
        <w:jc w:val="both"/>
        <w:rPr>
          <w:rFonts w:ascii="Times New Roman" w:hAnsi="Times New Roman"/>
          <w:i w:val="0"/>
          <w:sz w:val="28"/>
          <w:u w:val="none"/>
        </w:rPr>
      </w:pPr>
      <w:r>
        <w:rPr>
          <w:rFonts w:ascii="Times New Roman" w:hAnsi="Times New Roman"/>
          <w:i w:val="0"/>
          <w:sz w:val="28"/>
        </w:rPr>
        <w:t xml:space="preserve">опубликование настоящего приказа на «Официальном интернет-портале правовой информации» (www.pravo.gov.ru) в течение 10 календарных дней </w:t>
      </w:r>
      <w:r>
        <w:rPr>
          <w:rFonts w:ascii="Times New Roman" w:hAnsi="Times New Roman"/>
          <w:i w:val="0"/>
          <w:sz w:val="28"/>
          <w:u w:val="none"/>
        </w:rPr>
        <w:t>со дня</w:t>
      </w:r>
      <w:r>
        <w:rPr>
          <w:rFonts w:ascii="Times New Roman" w:hAnsi="Times New Roman"/>
          <w:i w:val="0"/>
          <w:sz w:val="28"/>
          <w:u w:val="none"/>
        </w:rPr>
        <w:t xml:space="preserve"> его </w:t>
      </w:r>
      <w:r>
        <w:rPr>
          <w:rFonts w:ascii="Times New Roman" w:hAnsi="Times New Roman"/>
          <w:i w:val="0"/>
          <w:sz w:val="28"/>
          <w:u w:val="none"/>
        </w:rPr>
        <w:t>принятия</w:t>
      </w:r>
      <w:r>
        <w:rPr>
          <w:rFonts w:ascii="Times New Roman" w:hAnsi="Times New Roman"/>
          <w:i w:val="0"/>
          <w:sz w:val="28"/>
          <w:u w:val="none"/>
        </w:rPr>
        <w:t>;</w:t>
      </w:r>
    </w:p>
    <w:p w14:paraId="30000000">
      <w:pPr>
        <w:numPr>
          <w:numId w:val="3"/>
        </w:numPr>
        <w:spacing w:after="0" w:line="228" w:lineRule="auto"/>
        <w:ind w:firstLine="709" w:left="0"/>
        <w:jc w:val="both"/>
        <w:rPr>
          <w:rFonts w:ascii="Times New Roman" w:hAnsi="Times New Roman"/>
          <w:i w:val="0"/>
          <w:sz w:val="28"/>
        </w:rPr>
      </w:pPr>
      <w:r>
        <w:rPr>
          <w:rFonts w:ascii="Times New Roman" w:hAnsi="Times New Roman"/>
          <w:i w:val="0"/>
          <w:sz w:val="28"/>
        </w:rPr>
        <w:t xml:space="preserve">опубликование настоящего приказа в официальном печатном издании Губернатора и Правительства Камчатского края «Официальные ведомости» в течение 30 календарных дней </w:t>
      </w:r>
      <w:r>
        <w:rPr>
          <w:rFonts w:ascii="Times New Roman" w:hAnsi="Times New Roman"/>
          <w:i w:val="0"/>
          <w:sz w:val="28"/>
          <w:u w:val="none"/>
        </w:rPr>
        <w:t>со дня</w:t>
      </w:r>
      <w:r>
        <w:rPr>
          <w:rFonts w:ascii="Times New Roman" w:hAnsi="Times New Roman"/>
          <w:i w:val="0"/>
          <w:sz w:val="28"/>
          <w:u w:val="none"/>
        </w:rPr>
        <w:t xml:space="preserve"> его </w:t>
      </w:r>
      <w:r>
        <w:rPr>
          <w:rFonts w:ascii="Times New Roman" w:hAnsi="Times New Roman"/>
          <w:i w:val="0"/>
          <w:sz w:val="28"/>
          <w:u w:val="none"/>
        </w:rPr>
        <w:t>принятия</w:t>
      </w:r>
      <w:r>
        <w:rPr>
          <w:rFonts w:ascii="Times New Roman" w:hAnsi="Times New Roman"/>
          <w:i w:val="1"/>
          <w:sz w:val="28"/>
          <w:u w:val="none"/>
        </w:rPr>
        <w:t>;</w:t>
      </w:r>
    </w:p>
    <w:p w14:paraId="31000000">
      <w:pPr>
        <w:numPr>
          <w:numId w:val="3"/>
        </w:numPr>
        <w:spacing w:after="0" w:line="228" w:lineRule="auto"/>
        <w:ind w:firstLine="709" w:left="0"/>
        <w:jc w:val="both"/>
        <w:rPr>
          <w:rFonts w:ascii="Times New Roman" w:hAnsi="Times New Roman"/>
          <w:i w:val="0"/>
          <w:sz w:val="28"/>
        </w:rPr>
      </w:pPr>
      <w:r>
        <w:rPr>
          <w:rFonts w:ascii="Times New Roman" w:hAnsi="Times New Roman"/>
          <w:i w:val="0"/>
          <w:sz w:val="28"/>
        </w:rPr>
        <w:t xml:space="preserve">размещение настоящего приказа на официальном сайте </w:t>
      </w:r>
      <w:r>
        <w:rPr>
          <w:rFonts w:ascii="Times New Roman" w:hAnsi="Times New Roman"/>
          <w:i w:val="0"/>
          <w:sz w:val="28"/>
        </w:rPr>
        <w:t>исполнительных органов Камчатского края</w:t>
      </w:r>
      <w:r>
        <w:rPr>
          <w:rFonts w:ascii="Times New Roman" w:hAnsi="Times New Roman"/>
          <w:i w:val="0"/>
          <w:sz w:val="28"/>
        </w:rPr>
        <w:t xml:space="preserve"> в</w:t>
      </w:r>
      <w:r>
        <w:rPr>
          <w:rFonts w:ascii="Times New Roman" w:hAnsi="Times New Roman"/>
          <w:i w:val="0"/>
          <w:sz w:val="28"/>
        </w:rPr>
        <w:t xml:space="preserve"> информационно-телекоммуникационной сети «Интернет» в</w:t>
      </w:r>
      <w:r>
        <w:rPr>
          <w:rFonts w:ascii="Times New Roman" w:hAnsi="Times New Roman"/>
          <w:i w:val="0"/>
          <w:sz w:val="28"/>
        </w:rPr>
        <w:t xml:space="preserve"> течение 5 рабочих дней </w:t>
      </w:r>
      <w:r>
        <w:rPr>
          <w:rFonts w:ascii="Times New Roman" w:hAnsi="Times New Roman"/>
          <w:i w:val="0"/>
          <w:sz w:val="28"/>
          <w:u w:val="none"/>
        </w:rPr>
        <w:t>со дня</w:t>
      </w:r>
      <w:r>
        <w:rPr>
          <w:rFonts w:ascii="Times New Roman" w:hAnsi="Times New Roman"/>
          <w:i w:val="0"/>
          <w:sz w:val="28"/>
          <w:u w:val="none"/>
        </w:rPr>
        <w:t xml:space="preserve"> его </w:t>
      </w:r>
      <w:r>
        <w:rPr>
          <w:rFonts w:ascii="Times New Roman" w:hAnsi="Times New Roman"/>
          <w:i w:val="0"/>
          <w:sz w:val="28"/>
          <w:u w:val="none"/>
        </w:rPr>
        <w:t>принятия</w:t>
      </w:r>
      <w:r>
        <w:rPr>
          <w:rFonts w:ascii="Times New Roman" w:hAnsi="Times New Roman"/>
          <w:i w:val="0"/>
          <w:sz w:val="28"/>
          <w:u w:val="none"/>
        </w:rPr>
        <w:t>;</w:t>
      </w:r>
    </w:p>
    <w:p w14:paraId="32000000">
      <w:pPr>
        <w:numPr>
          <w:numId w:val="3"/>
        </w:numPr>
        <w:spacing w:after="0" w:line="228" w:lineRule="auto"/>
        <w:ind w:firstLine="709" w:left="0"/>
        <w:jc w:val="both"/>
        <w:rPr>
          <w:rFonts w:ascii="Times New Roman" w:hAnsi="Times New Roman"/>
          <w:i w:val="0"/>
          <w:sz w:val="28"/>
        </w:rPr>
      </w:pPr>
      <w:r>
        <w:rPr>
          <w:rFonts w:ascii="Times New Roman" w:hAnsi="Times New Roman"/>
          <w:i w:val="0"/>
          <w:sz w:val="28"/>
        </w:rPr>
        <w:t>направление коп</w:t>
      </w:r>
      <w:r>
        <w:rPr>
          <w:rFonts w:ascii="Times New Roman" w:hAnsi="Times New Roman"/>
          <w:sz w:val="28"/>
        </w:rPr>
        <w:t xml:space="preserve">ии </w:t>
      </w:r>
      <w:r>
        <w:rPr>
          <w:rFonts w:ascii="Times New Roman" w:hAnsi="Times New Roman"/>
          <w:sz w:val="28"/>
        </w:rPr>
        <w:t xml:space="preserve">настоящего приказа </w:t>
      </w:r>
      <w:r>
        <w:rPr>
          <w:rFonts w:ascii="Times New Roman" w:hAnsi="Times New Roman"/>
          <w:sz w:val="28"/>
        </w:rPr>
        <w:t xml:space="preserve">в орган регистрации прав </w:t>
      </w:r>
      <w:r>
        <w:rPr>
          <w:rFonts w:ascii="Times New Roman" w:hAnsi="Times New Roman"/>
          <w:i w:val="0"/>
          <w:sz w:val="28"/>
        </w:rPr>
        <w:t>в</w:t>
      </w:r>
      <w:r>
        <w:rPr>
          <w:rFonts w:ascii="Times New Roman" w:hAnsi="Times New Roman"/>
          <w:i w:val="0"/>
          <w:sz w:val="28"/>
        </w:rPr>
        <w:t xml:space="preserve"> течение 5 рабочих дней </w:t>
      </w:r>
      <w:r>
        <w:rPr>
          <w:rFonts w:ascii="Times New Roman" w:hAnsi="Times New Roman"/>
          <w:i w:val="0"/>
          <w:sz w:val="28"/>
          <w:u w:val="none"/>
        </w:rPr>
        <w:t>со дня</w:t>
      </w:r>
      <w:r>
        <w:rPr>
          <w:rFonts w:ascii="Times New Roman" w:hAnsi="Times New Roman"/>
          <w:i w:val="0"/>
          <w:sz w:val="28"/>
          <w:u w:val="none"/>
        </w:rPr>
        <w:t xml:space="preserve"> его </w:t>
      </w:r>
      <w:r>
        <w:rPr>
          <w:rFonts w:ascii="Times New Roman" w:hAnsi="Times New Roman"/>
          <w:i w:val="0"/>
          <w:sz w:val="28"/>
          <w:u w:val="none"/>
        </w:rPr>
        <w:t>принятия</w:t>
      </w:r>
      <w:r>
        <w:rPr>
          <w:rFonts w:ascii="Times New Roman" w:hAnsi="Times New Roman"/>
          <w:sz w:val="28"/>
        </w:rPr>
        <w:t>;</w:t>
      </w:r>
    </w:p>
    <w:p w14:paraId="33000000">
      <w:pPr>
        <w:numPr>
          <w:numId w:val="3"/>
        </w:numPr>
        <w:spacing w:after="0" w:line="228" w:lineRule="auto"/>
        <w:ind w:firstLine="709" w:left="0"/>
        <w:jc w:val="both"/>
        <w:rPr>
          <w:rFonts w:ascii="Times New Roman" w:hAnsi="Times New Roman"/>
          <w:i w:val="0"/>
          <w:sz w:val="28"/>
        </w:rPr>
      </w:pPr>
      <w:r>
        <w:rPr>
          <w:rFonts w:ascii="Times New Roman" w:hAnsi="Times New Roman"/>
          <w:sz w:val="28"/>
        </w:rPr>
        <w:t xml:space="preserve">направление копии </w:t>
      </w:r>
      <w:r>
        <w:rPr>
          <w:rFonts w:ascii="Times New Roman" w:hAnsi="Times New Roman"/>
          <w:sz w:val="28"/>
        </w:rPr>
        <w:t>настоящего приказа обладателю публичного сервитута, а также сведений о лицах, являющихся правообладателями земельных участков, сведений о лицах, подавших заявления об учете их прав (обременений прав) на земельные участки, способах связи с ними, копии документов, п</w:t>
      </w:r>
      <w:r>
        <w:rPr>
          <w:rFonts w:ascii="Times New Roman" w:hAnsi="Times New Roman"/>
          <w:sz w:val="28"/>
        </w:rPr>
        <w:t>одтверждающих права указанных лиц на земельные участки,</w:t>
      </w:r>
      <w:r>
        <w:rPr>
          <w:rFonts w:ascii="Times New Roman" w:hAnsi="Times New Roman"/>
          <w:i w:val="0"/>
          <w:sz w:val="28"/>
        </w:rPr>
        <w:t xml:space="preserve"> в</w:t>
      </w:r>
      <w:r>
        <w:rPr>
          <w:rFonts w:ascii="Times New Roman" w:hAnsi="Times New Roman"/>
          <w:i w:val="0"/>
          <w:sz w:val="28"/>
        </w:rPr>
        <w:t xml:space="preserve"> течение </w:t>
      </w:r>
      <w:r>
        <w:rPr>
          <w:rFonts w:ascii="Times New Roman" w:hAnsi="Times New Roman"/>
          <w:i w:val="0"/>
          <w:sz w:val="28"/>
        </w:rPr>
        <w:t xml:space="preserve">5 рабочих дней </w:t>
      </w:r>
      <w:r>
        <w:rPr>
          <w:rFonts w:ascii="Times New Roman" w:hAnsi="Times New Roman"/>
          <w:i w:val="0"/>
          <w:sz w:val="28"/>
          <w:u w:val="none"/>
        </w:rPr>
        <w:t>со дня</w:t>
      </w:r>
      <w:r>
        <w:rPr>
          <w:rFonts w:ascii="Times New Roman" w:hAnsi="Times New Roman"/>
          <w:i w:val="0"/>
          <w:sz w:val="28"/>
          <w:u w:val="none"/>
        </w:rPr>
        <w:t xml:space="preserve"> его </w:t>
      </w:r>
      <w:r>
        <w:rPr>
          <w:rFonts w:ascii="Times New Roman" w:hAnsi="Times New Roman"/>
          <w:i w:val="0"/>
          <w:sz w:val="28"/>
          <w:u w:val="none"/>
        </w:rPr>
        <w:t>принятия</w:t>
      </w:r>
      <w:r>
        <w:rPr>
          <w:rFonts w:ascii="Times New Roman" w:hAnsi="Times New Roman"/>
          <w:sz w:val="28"/>
        </w:rPr>
        <w:t>.</w:t>
      </w:r>
    </w:p>
    <w:p w14:paraId="34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Контроль за исполнением настоящего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риказа оставляю за собой.</w:t>
      </w:r>
    </w:p>
    <w:p w14:paraId="35000000">
      <w:pPr>
        <w:spacing w:after="0" w:line="228" w:lineRule="auto"/>
        <w:ind w:firstLine="709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14.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Настоящий приказ вступает в силу после дня его официального опубликования.</w:t>
      </w:r>
    </w:p>
    <w:p w14:paraId="36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3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3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2"/>
        <w:tblLayout w:type="fixed"/>
        <w:tblCellMar>
          <w:left w:type="dxa" w:w="0"/>
          <w:right w:type="dxa" w:w="0"/>
        </w:tblCellMar>
      </w:tblPr>
      <w:tblGrid>
        <w:gridCol w:w="2976"/>
        <w:gridCol w:w="4393"/>
        <w:gridCol w:w="2268"/>
      </w:tblGrid>
      <w:tr>
        <w:trPr>
          <w:trHeight w:hRule="atLeast" w:val="2220"/>
        </w:trPr>
        <w:tc>
          <w:tcPr>
            <w:tcW w:type="dxa" w:w="2976"/>
            <w:shd w:fill="auto" w:val="clear"/>
            <w:tcMar>
              <w:left w:type="dxa" w:w="0"/>
              <w:right w:type="dxa" w:w="0"/>
            </w:tcMar>
          </w:tcPr>
          <w:p w14:paraId="39000000">
            <w:pPr>
              <w:spacing w:after="0" w:line="240" w:lineRule="auto"/>
              <w:ind w:right="2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Министр</w:t>
            </w:r>
          </w:p>
          <w:p w14:paraId="3A000000">
            <w:pPr>
              <w:spacing w:after="0" w:line="240" w:lineRule="auto"/>
              <w:ind w:firstLine="0" w:left="30" w:right="27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3"/>
            <w:shd w:fill="auto" w:val="clear"/>
            <w:tcMar>
              <w:left w:type="dxa" w:w="0"/>
              <w:right w:type="dxa" w:w="0"/>
            </w:tcMar>
          </w:tcPr>
          <w:p w14:paraId="3B000000">
            <w:pPr>
              <w:spacing w:after="0" w:line="240" w:lineRule="auto"/>
              <w:ind/>
              <w:rPr>
                <w:rFonts w:ascii="Times New Roman" w:hAnsi="Times New Roman"/>
                <w:color w:themeColor="text1" w:val="000000"/>
                <w:sz w:val="24"/>
              </w:rPr>
            </w:pPr>
            <w:bookmarkStart w:id="3" w:name="SIGNERSTAMP1"/>
            <w:r>
              <w:rPr>
                <w:rFonts w:ascii="Times New Roman" w:hAnsi="Times New Roman"/>
                <w:color w:themeColor="background1" w:val="FFFFFF"/>
                <w:sz w:val="24"/>
              </w:rPr>
              <w:t>[горизонтальный штамп подписи 1]</w:t>
            </w:r>
            <w:bookmarkEnd w:id="3"/>
          </w:p>
        </w:tc>
        <w:tc>
          <w:tcPr>
            <w:tcW w:type="dxa" w:w="2268"/>
            <w:shd w:fill="auto" w:val="clear"/>
            <w:tcMar>
              <w:left w:type="dxa" w:w="0"/>
              <w:right w:type="dxa" w:w="0"/>
            </w:tcMar>
          </w:tcPr>
          <w:p w14:paraId="3C000000">
            <w:pPr>
              <w:spacing w:after="0" w:line="240" w:lineRule="auto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И.В. Мищенко</w:t>
            </w:r>
          </w:p>
        </w:tc>
      </w:tr>
    </w:tbl>
    <w:p w14:paraId="3D000000">
      <w:r>
        <w:br w:type="page"/>
      </w:r>
    </w:p>
    <w:p w14:paraId="3E000000">
      <w:pPr>
        <w:widowControl w:val="0"/>
        <w:tabs>
          <w:tab w:leader="none" w:pos="8222" w:val="left"/>
        </w:tabs>
        <w:spacing w:after="0" w:line="240" w:lineRule="auto"/>
        <w:ind w:firstLine="5103" w:left="0" w:right="-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к приказу Министерства</w:t>
      </w:r>
    </w:p>
    <w:p w14:paraId="3F000000">
      <w:pPr>
        <w:widowControl w:val="0"/>
        <w:spacing w:after="0" w:line="240" w:lineRule="auto"/>
        <w:ind w:firstLine="0" w:left="5103" w:right="-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имущественных и земельных отношений Камчатского </w:t>
      </w:r>
      <w:r>
        <w:rPr>
          <w:rFonts w:ascii="Times New Roman" w:hAnsi="Times New Roman"/>
          <w:sz w:val="28"/>
        </w:rPr>
        <w:t>края</w:t>
      </w:r>
    </w:p>
    <w:tbl>
      <w:tblPr>
        <w:tblStyle w:val="Style_3"/>
        <w:tblInd w:type="dxa" w:w="5061"/>
        <w:tblBorders>
          <w:top w:color="000000" w:sz="4" w:val="nil"/>
          <w:left w:color="000000" w:sz="4" w:val="nil"/>
          <w:bottom w:color="000000" w:sz="4" w:val="nil"/>
          <w:right w:color="000000" w:sz="4" w:val="nil"/>
          <w:insideH w:color="000000" w:sz="4" w:val="nil"/>
          <w:insideV w:color="000000" w:sz="4" w:val="nil"/>
        </w:tblBorders>
        <w:tblLayout w:type="fixed"/>
      </w:tblPr>
      <w:tblGrid>
        <w:gridCol w:w="414"/>
        <w:gridCol w:w="1869"/>
        <w:gridCol w:w="486"/>
        <w:gridCol w:w="1701"/>
      </w:tblGrid>
      <w:tr>
        <w:tc>
          <w:tcPr>
            <w:tcW w:type="dxa" w:w="414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</w:tcPr>
          <w:p w14:paraId="40000000">
            <w:pPr>
              <w:spacing w:after="60"/>
              <w:ind w:firstLine="0" w:left="-65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type="dxa" w:w="1869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</w:tcPr>
          <w:p w14:paraId="41000000">
            <w:pPr>
              <w:spacing w:after="60"/>
              <w:ind/>
              <w:jc w:val="right"/>
              <w:rPr>
                <w:rFonts w:ascii="Times New Roman" w:hAnsi="Times New Roman"/>
                <w:color w:themeColor="background1"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z w:val="28"/>
              </w:rPr>
              <w:t>[</w:t>
            </w:r>
            <w:r>
              <w:rPr>
                <w:rFonts w:ascii="Times New Roman" w:hAnsi="Times New Roman"/>
                <w:color w:themeColor="background1" w:val="FFFFFF"/>
                <w:sz w:val="28"/>
              </w:rPr>
              <w:t>R</w:t>
            </w:r>
            <w:r>
              <w:rPr>
                <w:rFonts w:ascii="Times New Roman" w:hAnsi="Times New Roman"/>
                <w:color w:themeColor="background1" w:val="FFFFFF"/>
                <w:sz w:val="16"/>
              </w:rPr>
              <w:t>EGDATESTAMP</w:t>
            </w:r>
            <w:r>
              <w:rPr>
                <w:rFonts w:ascii="Times New Roman" w:hAnsi="Times New Roman"/>
                <w:color w:themeColor="background1" w:val="FFFFFF"/>
                <w:sz w:val="16"/>
              </w:rPr>
              <w:t>]</w:t>
            </w:r>
          </w:p>
        </w:tc>
        <w:tc>
          <w:tcPr>
            <w:tcW w:type="dxa" w:w="486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</w:tcPr>
          <w:p w14:paraId="42000000">
            <w:pPr>
              <w:spacing w:after="60"/>
              <w:ind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701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</w:tcPr>
          <w:p w14:paraId="43000000">
            <w:pPr>
              <w:spacing w:after="60"/>
              <w:ind/>
              <w:jc w:val="right"/>
              <w:rPr>
                <w:rFonts w:ascii="Times New Roman" w:hAnsi="Times New Roman"/>
                <w:color w:themeColor="background1"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z w:val="16"/>
              </w:rPr>
              <w:t>EGNUMSTAMP]</w:t>
            </w:r>
          </w:p>
        </w:tc>
      </w:tr>
    </w:tbl>
    <w:p w14:paraId="44000000">
      <w:pPr>
        <w:rPr>
          <w:rFonts w:ascii="Times New Roman" w:hAnsi="Times New Roman"/>
          <w:sz w:val="24"/>
        </w:rPr>
      </w:pPr>
    </w:p>
    <w:p w14:paraId="45000000">
      <w:pPr>
        <w:spacing w:before="0" w:line="240" w:lineRule="auto"/>
        <w:ind w:firstLine="0" w:left="552" w:right="2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ОПИСАНИЕ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МЕСТОПОЛОЖЕНИЯ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ГРАНИЦ</w:t>
      </w:r>
    </w:p>
    <w:p w14:paraId="46000000">
      <w:pPr>
        <w:spacing w:before="0" w:line="240" w:lineRule="auto"/>
        <w:ind w:firstLine="0" w:left="552" w:right="2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ПУБЛИЧНОГО СЕРВИТУТА</w:t>
      </w:r>
    </w:p>
    <w:p w14:paraId="47000000">
      <w:pPr>
        <w:spacing w:before="0" w:line="240" w:lineRule="auto"/>
        <w:ind w:firstLine="0" w:left="549" w:right="244"/>
        <w:jc w:val="center"/>
        <w:rPr>
          <w:rFonts w:ascii="Times New Roman" w:hAnsi="Times New Roman"/>
          <w:sz w:val="28"/>
          <w:u w:val="none"/>
        </w:rPr>
      </w:pPr>
      <w:r>
        <w:rPr>
          <w:rFonts w:ascii="Times New Roman" w:hAnsi="Times New Roman"/>
          <w:sz w:val="28"/>
          <w:u w:val="none"/>
        </w:rPr>
        <w:t>в</w:t>
      </w:r>
      <w:r>
        <w:rPr>
          <w:rFonts w:ascii="Times New Roman" w:hAnsi="Times New Roman"/>
          <w:spacing w:val="-3"/>
          <w:sz w:val="28"/>
          <w:u w:val="none"/>
        </w:rPr>
        <w:t xml:space="preserve"> </w:t>
      </w:r>
      <w:r>
        <w:rPr>
          <w:rFonts w:ascii="Times New Roman" w:hAnsi="Times New Roman"/>
          <w:sz w:val="28"/>
          <w:u w:val="none"/>
        </w:rPr>
        <w:t>отношении</w:t>
      </w:r>
      <w:r>
        <w:rPr>
          <w:rFonts w:ascii="Times New Roman" w:hAnsi="Times New Roman"/>
          <w:spacing w:val="-2"/>
          <w:sz w:val="28"/>
          <w:u w:val="none"/>
        </w:rPr>
        <w:t xml:space="preserve"> </w:t>
      </w:r>
      <w:r>
        <w:rPr>
          <w:rFonts w:ascii="Times New Roman" w:hAnsi="Times New Roman"/>
          <w:sz w:val="28"/>
          <w:u w:val="none"/>
        </w:rPr>
        <w:t>земель</w:t>
      </w:r>
      <w:r>
        <w:rPr>
          <w:rFonts w:ascii="Times New Roman" w:hAnsi="Times New Roman"/>
          <w:spacing w:val="-2"/>
          <w:sz w:val="28"/>
          <w:u w:val="none"/>
        </w:rPr>
        <w:t xml:space="preserve"> </w:t>
      </w:r>
      <w:r>
        <w:rPr>
          <w:rFonts w:ascii="Times New Roman" w:hAnsi="Times New Roman"/>
          <w:sz w:val="28"/>
          <w:u w:val="none"/>
        </w:rPr>
        <w:t>и</w:t>
      </w:r>
      <w:r>
        <w:rPr>
          <w:rFonts w:ascii="Times New Roman" w:hAnsi="Times New Roman"/>
          <w:spacing w:val="-1"/>
          <w:sz w:val="28"/>
          <w:u w:val="none"/>
        </w:rPr>
        <w:t xml:space="preserve"> </w:t>
      </w:r>
      <w:r>
        <w:rPr>
          <w:rFonts w:ascii="Times New Roman" w:hAnsi="Times New Roman"/>
          <w:sz w:val="28"/>
          <w:u w:val="none"/>
        </w:rPr>
        <w:t>земельных</w:t>
      </w:r>
      <w:r>
        <w:rPr>
          <w:rFonts w:ascii="Times New Roman" w:hAnsi="Times New Roman"/>
          <w:spacing w:val="-1"/>
          <w:sz w:val="28"/>
          <w:u w:val="none"/>
        </w:rPr>
        <w:t xml:space="preserve"> </w:t>
      </w:r>
      <w:r>
        <w:rPr>
          <w:rFonts w:ascii="Times New Roman" w:hAnsi="Times New Roman"/>
          <w:sz w:val="28"/>
          <w:u w:val="none"/>
        </w:rPr>
        <w:t>участков</w:t>
      </w:r>
      <w:r>
        <w:rPr>
          <w:rFonts w:ascii="Times New Roman" w:hAnsi="Times New Roman"/>
          <w:spacing w:val="-3"/>
          <w:sz w:val="28"/>
          <w:u w:val="none"/>
        </w:rPr>
        <w:t xml:space="preserve"> </w:t>
      </w:r>
      <w:r>
        <w:rPr>
          <w:rFonts w:ascii="Times New Roman" w:hAnsi="Times New Roman"/>
          <w:sz w:val="28"/>
          <w:u w:val="none"/>
        </w:rPr>
        <w:t>для</w:t>
      </w:r>
      <w:r>
        <w:rPr>
          <w:rFonts w:ascii="Times New Roman" w:hAnsi="Times New Roman"/>
          <w:spacing w:val="-4"/>
          <w:sz w:val="28"/>
          <w:u w:val="none"/>
        </w:rPr>
        <w:t xml:space="preserve"> </w:t>
      </w:r>
      <w:r>
        <w:rPr>
          <w:rFonts w:ascii="Times New Roman" w:hAnsi="Times New Roman"/>
          <w:sz w:val="28"/>
          <w:u w:val="none"/>
        </w:rPr>
        <w:t xml:space="preserve">их </w:t>
      </w:r>
      <w:r>
        <w:rPr>
          <w:rFonts w:ascii="Times New Roman" w:hAnsi="Times New Roman"/>
          <w:sz w:val="28"/>
          <w:u w:val="none"/>
        </w:rPr>
        <w:t>использования</w:t>
      </w:r>
      <w:r>
        <w:rPr>
          <w:rFonts w:ascii="Times New Roman" w:hAnsi="Times New Roman"/>
          <w:spacing w:val="-5"/>
          <w:sz w:val="28"/>
          <w:u w:val="none"/>
        </w:rPr>
        <w:t xml:space="preserve"> </w:t>
      </w:r>
      <w:r>
        <w:rPr>
          <w:rFonts w:ascii="Times New Roman" w:hAnsi="Times New Roman"/>
          <w:sz w:val="28"/>
          <w:u w:val="none"/>
        </w:rPr>
        <w:t>в</w:t>
      </w:r>
      <w:r>
        <w:rPr>
          <w:rFonts w:ascii="Times New Roman" w:hAnsi="Times New Roman"/>
          <w:spacing w:val="-6"/>
          <w:sz w:val="28"/>
          <w:u w:val="none"/>
        </w:rPr>
        <w:t xml:space="preserve"> </w:t>
      </w:r>
      <w:r>
        <w:rPr>
          <w:rFonts w:ascii="Times New Roman" w:hAnsi="Times New Roman"/>
          <w:sz w:val="28"/>
          <w:u w:val="none"/>
        </w:rPr>
        <w:t>целях</w:t>
      </w:r>
      <w:r>
        <w:rPr>
          <w:rFonts w:ascii="Times New Roman" w:hAnsi="Times New Roman"/>
          <w:spacing w:val="-3"/>
          <w:sz w:val="28"/>
          <w:u w:val="none"/>
        </w:rPr>
        <w:t xml:space="preserve"> </w:t>
      </w:r>
      <w:r>
        <w:rPr>
          <w:rFonts w:ascii="Times New Roman" w:hAnsi="Times New Roman"/>
          <w:spacing w:val="-4"/>
          <w:sz w:val="28"/>
          <w:u w:val="none"/>
        </w:rPr>
        <w:t xml:space="preserve">размещения </w:t>
      </w:r>
      <w:r>
        <w:rPr>
          <w:rFonts w:ascii="Times New Roman" w:hAnsi="Times New Roman"/>
          <w:sz w:val="28"/>
          <w:u w:val="none"/>
        </w:rPr>
        <w:t>объекта электросетевого хозяйства:</w:t>
      </w:r>
    </w:p>
    <w:p w14:paraId="48000000">
      <w:pPr>
        <w:spacing w:after="0" w:line="240" w:lineRule="auto"/>
        <w:ind w:firstLine="0" w:left="30"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«</w:t>
      </w:r>
      <w:r>
        <w:rPr>
          <w:rFonts w:ascii="Times New Roman" w:hAnsi="Times New Roman"/>
          <w:b w:val="0"/>
          <w:sz w:val="28"/>
        </w:rPr>
        <w:t xml:space="preserve">Сооружение ВЛЭП 35 кВ от ПС 110/35/10 кВ «Кавалерская» до Сооружения ДЭС-6 п. Усть-Большерецк, </w:t>
      </w:r>
      <w:r>
        <w:rPr>
          <w:rFonts w:ascii="Times New Roman" w:hAnsi="Times New Roman"/>
          <w:b w:val="0"/>
          <w:sz w:val="28"/>
        </w:rPr>
        <w:t>со строительством ВЛ-35 кВ и реконструкцией ПС 110-35-10 кВ</w:t>
      </w:r>
      <w:r>
        <w:rPr>
          <w:rFonts w:ascii="Times New Roman" w:hAnsi="Times New Roman"/>
          <w:b w:val="0"/>
          <w:sz w:val="28"/>
        </w:rPr>
        <w:t xml:space="preserve"> «Кавалерская» </w:t>
      </w:r>
      <w:r>
        <w:rPr>
          <w:rFonts w:ascii="Times New Roman" w:hAnsi="Times New Roman"/>
          <w:b w:val="0"/>
          <w:sz w:val="28"/>
        </w:rPr>
        <w:t>и Сооружения ДЭС-6 п. Усть-Большерецк»</w:t>
      </w:r>
    </w:p>
    <w:p w14:paraId="49000000">
      <w:pPr>
        <w:spacing w:before="0" w:line="240" w:lineRule="auto"/>
        <w:ind w:firstLine="0" w:left="552" w:right="24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(наименование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объекта,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местоположение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границ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которого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описано </w:t>
      </w:r>
      <w:r>
        <w:rPr>
          <w:rFonts w:ascii="Times New Roman" w:hAnsi="Times New Roman"/>
          <w:sz w:val="24"/>
        </w:rPr>
        <w:t>(далее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2"/>
          <w:sz w:val="24"/>
        </w:rPr>
        <w:t>–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объект))</w:t>
      </w:r>
    </w:p>
    <w:p w14:paraId="4A000000">
      <w:pPr>
        <w:spacing w:before="2"/>
        <w:ind w:firstLine="0" w:left="1567" w:right="1621"/>
        <w:jc w:val="center"/>
        <w:rPr>
          <w:rFonts w:ascii="Times New Roman" w:hAnsi="Times New Roman"/>
          <w:sz w:val="24"/>
        </w:rPr>
      </w:pPr>
    </w:p>
    <w:tbl>
      <w:tblPr>
        <w:tblStyle w:val="Style_2"/>
        <w:tblInd w:type="dxa" w:w="0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802"/>
        <w:gridCol w:w="4922"/>
        <w:gridCol w:w="3917"/>
      </w:tblGrid>
      <w:tr>
        <w:trPr>
          <w:trHeight w:hRule="exact" w:val="458"/>
        </w:trPr>
        <w:tc>
          <w:tcPr>
            <w:tcW w:type="dxa" w:w="9641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B000000">
            <w:pPr>
              <w:spacing w:after="0" w:line="228" w:lineRule="auto"/>
              <w:ind/>
              <w:jc w:val="center"/>
              <w:rPr>
                <w:rFonts w:ascii="Times New Roman" w:hAnsi="Times New Roman"/>
                <w:b w:val="1"/>
                <w:spacing w:val="-2"/>
                <w:sz w:val="28"/>
              </w:rPr>
            </w:pPr>
            <w:r>
              <w:rPr>
                <w:rFonts w:ascii="Times New Roman" w:hAnsi="Times New Roman"/>
                <w:b w:val="1"/>
                <w:spacing w:val="-2"/>
                <w:sz w:val="28"/>
              </w:rPr>
              <w:t>Раздел 1</w:t>
            </w:r>
          </w:p>
        </w:tc>
      </w:tr>
      <w:tr>
        <w:trPr>
          <w:trHeight w:hRule="exact" w:val="444"/>
        </w:trPr>
        <w:tc>
          <w:tcPr>
            <w:tcW w:type="dxa" w:w="9641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C000000">
            <w:pPr>
              <w:spacing w:after="0" w:line="228" w:lineRule="auto"/>
              <w:ind/>
              <w:jc w:val="center"/>
              <w:rPr>
                <w:rFonts w:ascii="Times New Roman" w:hAnsi="Times New Roman"/>
                <w:b w:val="1"/>
                <w:spacing w:val="-2"/>
                <w:sz w:val="28"/>
              </w:rPr>
            </w:pPr>
            <w:r>
              <w:rPr>
                <w:rFonts w:ascii="Times New Roman" w:hAnsi="Times New Roman"/>
                <w:b w:val="1"/>
                <w:spacing w:val="-2"/>
                <w:sz w:val="28"/>
              </w:rPr>
              <w:t>Сведения об объекте</w:t>
            </w:r>
          </w:p>
        </w:tc>
      </w:tr>
      <w:tr>
        <w:trPr>
          <w:trHeight w:hRule="exact" w:val="459"/>
        </w:trPr>
        <w:tc>
          <w:tcPr>
            <w:tcW w:type="dxa" w:w="80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D000000">
            <w:pPr>
              <w:spacing w:after="0" w:line="228" w:lineRule="auto"/>
              <w:ind/>
              <w:jc w:val="center"/>
              <w:rPr>
                <w:rFonts w:ascii="Times New Roman" w:hAnsi="Times New Roman"/>
                <w:b w:val="1"/>
                <w:spacing w:val="-2"/>
                <w:sz w:val="24"/>
              </w:rPr>
            </w:pPr>
            <w:r>
              <w:rPr>
                <w:rFonts w:ascii="Times New Roman" w:hAnsi="Times New Roman"/>
                <w:b w:val="1"/>
                <w:spacing w:val="-2"/>
                <w:sz w:val="24"/>
              </w:rPr>
              <w:t>№ п/п</w:t>
            </w:r>
          </w:p>
        </w:tc>
        <w:tc>
          <w:tcPr>
            <w:tcW w:type="dxa" w:w="492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E000000">
            <w:pPr>
              <w:spacing w:after="0" w:line="228" w:lineRule="auto"/>
              <w:ind/>
              <w:jc w:val="center"/>
              <w:rPr>
                <w:rFonts w:ascii="Times New Roman" w:hAnsi="Times New Roman"/>
                <w:b w:val="1"/>
                <w:spacing w:val="-2"/>
                <w:sz w:val="24"/>
              </w:rPr>
            </w:pPr>
            <w:r>
              <w:rPr>
                <w:rFonts w:ascii="Times New Roman" w:hAnsi="Times New Roman"/>
                <w:b w:val="1"/>
                <w:spacing w:val="-2"/>
                <w:sz w:val="24"/>
              </w:rPr>
              <w:t xml:space="preserve">Характеристики объекта </w:t>
            </w:r>
          </w:p>
        </w:tc>
        <w:tc>
          <w:tcPr>
            <w:tcW w:type="dxa" w:w="3917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F000000">
            <w:pPr>
              <w:spacing w:after="0" w:line="228" w:lineRule="auto"/>
              <w:ind/>
              <w:jc w:val="center"/>
              <w:rPr>
                <w:rFonts w:ascii="Times New Roman" w:hAnsi="Times New Roman"/>
                <w:b w:val="1"/>
                <w:spacing w:val="-2"/>
                <w:sz w:val="24"/>
              </w:rPr>
            </w:pPr>
            <w:r>
              <w:rPr>
                <w:rFonts w:ascii="Times New Roman" w:hAnsi="Times New Roman"/>
                <w:b w:val="1"/>
                <w:spacing w:val="-2"/>
                <w:sz w:val="24"/>
              </w:rPr>
              <w:t>Описание характеристик</w:t>
            </w:r>
          </w:p>
        </w:tc>
      </w:tr>
      <w:tr>
        <w:trPr>
          <w:trHeight w:hRule="exact" w:val="344"/>
        </w:trPr>
        <w:tc>
          <w:tcPr>
            <w:tcW w:type="dxa" w:w="80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0000000">
            <w:pPr>
              <w:spacing w:after="0" w:line="228" w:lineRule="auto"/>
              <w:ind/>
              <w:jc w:val="center"/>
              <w:rPr>
                <w:rFonts w:ascii="Times New Roman" w:hAnsi="Times New Roman"/>
                <w:b w:val="1"/>
                <w:spacing w:val="-2"/>
                <w:sz w:val="24"/>
              </w:rPr>
            </w:pPr>
            <w:r>
              <w:rPr>
                <w:rFonts w:ascii="Times New Roman" w:hAnsi="Times New Roman"/>
                <w:b w:val="1"/>
                <w:spacing w:val="-2"/>
                <w:sz w:val="24"/>
              </w:rPr>
              <w:t>1</w:t>
            </w:r>
          </w:p>
        </w:tc>
        <w:tc>
          <w:tcPr>
            <w:tcW w:type="dxa" w:w="492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1000000">
            <w:pPr>
              <w:spacing w:after="0" w:line="228" w:lineRule="auto"/>
              <w:ind/>
              <w:jc w:val="center"/>
              <w:rPr>
                <w:rFonts w:ascii="Times New Roman" w:hAnsi="Times New Roman"/>
                <w:b w:val="1"/>
                <w:spacing w:val="-2"/>
                <w:sz w:val="24"/>
              </w:rPr>
            </w:pPr>
            <w:r>
              <w:rPr>
                <w:rFonts w:ascii="Times New Roman" w:hAnsi="Times New Roman"/>
                <w:b w:val="1"/>
                <w:spacing w:val="-2"/>
                <w:sz w:val="24"/>
              </w:rPr>
              <w:t>2</w:t>
            </w:r>
          </w:p>
        </w:tc>
        <w:tc>
          <w:tcPr>
            <w:tcW w:type="dxa" w:w="3917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2000000">
            <w:pPr>
              <w:spacing w:after="0" w:line="228" w:lineRule="auto"/>
              <w:ind/>
              <w:jc w:val="center"/>
              <w:rPr>
                <w:rFonts w:ascii="Times New Roman" w:hAnsi="Times New Roman"/>
                <w:b w:val="1"/>
                <w:spacing w:val="-2"/>
                <w:sz w:val="24"/>
              </w:rPr>
            </w:pPr>
            <w:r>
              <w:rPr>
                <w:rFonts w:ascii="Times New Roman" w:hAnsi="Times New Roman"/>
                <w:b w:val="1"/>
                <w:spacing w:val="-2"/>
                <w:sz w:val="24"/>
              </w:rPr>
              <w:t>3</w:t>
            </w:r>
          </w:p>
        </w:tc>
      </w:tr>
      <w:tr>
        <w:trPr>
          <w:trHeight w:hRule="exact" w:val="584"/>
        </w:trPr>
        <w:tc>
          <w:tcPr>
            <w:tcW w:type="dxa" w:w="80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3000000">
            <w:pPr>
              <w:spacing w:after="0" w:line="228" w:lineRule="auto"/>
              <w:ind/>
              <w:jc w:val="center"/>
              <w:rPr>
                <w:rFonts w:ascii="Times New Roman" w:hAnsi="Times New Roman"/>
                <w:spacing w:val="-2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1.</w:t>
            </w:r>
          </w:p>
        </w:tc>
        <w:tc>
          <w:tcPr>
            <w:tcW w:type="dxa" w:w="492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72"/>
              <w:bottom w:type="dxa" w:w="0"/>
              <w:right w:type="dxa" w:w="72"/>
            </w:tcMar>
            <w:vAlign w:val="center"/>
          </w:tcPr>
          <w:p w14:paraId="54000000">
            <w:pPr>
              <w:spacing w:after="0" w:line="228" w:lineRule="auto"/>
              <w:ind w:right="-22925"/>
              <w:rPr>
                <w:rFonts w:ascii="Times New Roman" w:hAnsi="Times New Roman"/>
                <w:spacing w:val="-2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 xml:space="preserve">Местоположение объекта </w:t>
            </w:r>
          </w:p>
        </w:tc>
        <w:tc>
          <w:tcPr>
            <w:tcW w:type="dxa" w:w="3917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72"/>
              <w:bottom w:type="dxa" w:w="0"/>
              <w:right w:type="dxa" w:w="72"/>
            </w:tcMar>
            <w:vAlign w:val="center"/>
          </w:tcPr>
          <w:p w14:paraId="55000000">
            <w:pPr>
              <w:spacing w:after="0" w:line="228" w:lineRule="auto"/>
              <w:ind/>
              <w:rPr>
                <w:rFonts w:ascii="Times New Roman" w:hAnsi="Times New Roman"/>
                <w:spacing w:val="-2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 xml:space="preserve"> Камчатский край, район Усть-Большерецкий</w:t>
            </w:r>
          </w:p>
        </w:tc>
      </w:tr>
      <w:tr>
        <w:trPr>
          <w:trHeight w:hRule="exact" w:val="897"/>
        </w:trPr>
        <w:tc>
          <w:tcPr>
            <w:tcW w:type="dxa" w:w="80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6000000">
            <w:pPr>
              <w:spacing w:after="0" w:line="228" w:lineRule="auto"/>
              <w:ind/>
              <w:jc w:val="center"/>
              <w:rPr>
                <w:rFonts w:ascii="Times New Roman" w:hAnsi="Times New Roman"/>
                <w:spacing w:val="-2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2.</w:t>
            </w:r>
          </w:p>
        </w:tc>
        <w:tc>
          <w:tcPr>
            <w:tcW w:type="dxa" w:w="492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72"/>
              <w:bottom w:type="dxa" w:w="0"/>
              <w:right w:type="dxa" w:w="72"/>
            </w:tcMar>
            <w:vAlign w:val="center"/>
          </w:tcPr>
          <w:p w14:paraId="57000000">
            <w:pPr>
              <w:spacing w:after="0" w:line="228" w:lineRule="auto"/>
              <w:ind w:right="-22925"/>
              <w:rPr>
                <w:rFonts w:ascii="Times New Roman" w:hAnsi="Times New Roman"/>
                <w:spacing w:val="-2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Площадь объекта +/- величина</w:t>
            </w:r>
          </w:p>
          <w:p w14:paraId="58000000">
            <w:pPr>
              <w:spacing w:after="0" w:line="228" w:lineRule="auto"/>
              <w:ind w:right="-22925"/>
              <w:rPr>
                <w:rFonts w:ascii="Times New Roman" w:hAnsi="Times New Roman"/>
                <w:spacing w:val="-2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 xml:space="preserve">погрешности определения площади </w:t>
            </w:r>
          </w:p>
          <w:p w14:paraId="59000000">
            <w:pPr>
              <w:spacing w:after="0" w:line="228" w:lineRule="auto"/>
              <w:ind w:right="-22925"/>
              <w:rPr>
                <w:rFonts w:ascii="Times New Roman" w:hAnsi="Times New Roman"/>
                <w:spacing w:val="-2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(Р +/- Дельта Р)</w:t>
            </w:r>
          </w:p>
        </w:tc>
        <w:tc>
          <w:tcPr>
            <w:tcW w:type="dxa" w:w="3917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72"/>
              <w:bottom w:type="dxa" w:w="0"/>
              <w:right w:type="dxa" w:w="72"/>
            </w:tcMar>
            <w:vAlign w:val="center"/>
          </w:tcPr>
          <w:p w14:paraId="5A000000">
            <w:pPr>
              <w:spacing w:after="0" w:line="228" w:lineRule="auto"/>
              <w:ind/>
              <w:rPr>
                <w:rFonts w:ascii="Times New Roman" w:hAnsi="Times New Roman"/>
                <w:spacing w:val="-2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 xml:space="preserve"> 958834 +/- 61 м²</w:t>
            </w:r>
          </w:p>
        </w:tc>
      </w:tr>
      <w:tr>
        <w:trPr>
          <w:trHeight w:hRule="exact" w:val="2508"/>
        </w:trPr>
        <w:tc>
          <w:tcPr>
            <w:tcW w:type="dxa" w:w="802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B000000">
            <w:pPr>
              <w:spacing w:after="0" w:line="228" w:lineRule="auto"/>
              <w:ind/>
              <w:jc w:val="center"/>
              <w:rPr>
                <w:rFonts w:ascii="Times New Roman" w:hAnsi="Times New Roman"/>
                <w:spacing w:val="-2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3.</w:t>
            </w:r>
          </w:p>
        </w:tc>
        <w:tc>
          <w:tcPr>
            <w:tcW w:type="dxa" w:w="4922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72"/>
              <w:bottom w:type="dxa" w:w="0"/>
              <w:right w:type="dxa" w:w="72"/>
            </w:tcMar>
            <w:vAlign w:val="center"/>
          </w:tcPr>
          <w:p w14:paraId="5C000000">
            <w:pPr>
              <w:spacing w:after="0" w:line="228" w:lineRule="auto"/>
              <w:ind w:right="-22925"/>
              <w:rPr>
                <w:rFonts w:ascii="Times New Roman" w:hAnsi="Times New Roman"/>
                <w:spacing w:val="-2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Иные характеристики объекта</w:t>
            </w:r>
          </w:p>
        </w:tc>
        <w:tc>
          <w:tcPr>
            <w:tcW w:type="dxa" w:w="3917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72"/>
              <w:bottom w:type="dxa" w:w="0"/>
              <w:right w:type="dxa" w:w="72"/>
            </w:tcMar>
            <w:vAlign w:val="center"/>
          </w:tcPr>
          <w:p w14:paraId="5D000000">
            <w:pPr>
              <w:spacing w:after="0" w:line="228" w:lineRule="auto"/>
              <w:ind/>
              <w:jc w:val="both"/>
              <w:rPr>
                <w:rFonts w:ascii="Times New Roman" w:hAnsi="Times New Roman"/>
                <w:spacing w:val="-2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 xml:space="preserve"> Публичный сервитут для использования земель и земельных участков в целях р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азмещения объекта электросетевого хозяйства </w:t>
            </w:r>
            <w:r>
              <w:rPr>
                <w:rFonts w:ascii="Times New Roman" w:hAnsi="Times New Roman"/>
                <w:b w:val="0"/>
                <w:sz w:val="24"/>
              </w:rPr>
              <w:t>«</w:t>
            </w:r>
            <w:r>
              <w:rPr>
                <w:rFonts w:ascii="Times New Roman" w:hAnsi="Times New Roman"/>
                <w:b w:val="0"/>
                <w:sz w:val="24"/>
              </w:rPr>
              <w:t xml:space="preserve">Сооружение ВЛЭП 35 кВ от ПС 110/35/10 кВ «Кавалерская» до Сооружения ДЭС-6 п. Усть-Большерецк, </w:t>
            </w:r>
            <w:r>
              <w:rPr>
                <w:rFonts w:ascii="Times New Roman" w:hAnsi="Times New Roman"/>
                <w:b w:val="0"/>
                <w:sz w:val="24"/>
              </w:rPr>
              <w:t>со строительством ВЛ-35 кВ и реконструкцией ПС 110-35-10 кВ</w:t>
            </w:r>
            <w:r>
              <w:rPr>
                <w:rFonts w:ascii="Times New Roman" w:hAnsi="Times New Roman"/>
                <w:b w:val="0"/>
                <w:sz w:val="24"/>
              </w:rPr>
              <w:t xml:space="preserve"> «Кавалерская» </w:t>
            </w:r>
            <w:r>
              <w:rPr>
                <w:rFonts w:ascii="Times New Roman" w:hAnsi="Times New Roman"/>
                <w:b w:val="0"/>
                <w:sz w:val="24"/>
              </w:rPr>
              <w:t>и Сооружения ДЭС-6 п. Усть-Большерецк»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соответствии с п.1 ст.39.37 Земельного кодекса Российской Федерации сроком на 49 лет. Обладатель публичного сервитута: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ПАО «Камчатскэнерго», ИНН 4100000668, ОГРН </w:t>
            </w:r>
            <w:r>
              <w:rPr>
                <w:rFonts w:ascii="Times New Roman" w:hAnsi="Times New Roman"/>
                <w:sz w:val="24"/>
              </w:rPr>
              <w:t>1024101024078</w:t>
            </w:r>
            <w:r>
              <w:rPr>
                <w:rFonts w:ascii="Times New Roman" w:hAnsi="Times New Roman"/>
                <w:sz w:val="24"/>
              </w:rPr>
              <w:t>, адрес</w:t>
            </w:r>
            <w:r>
              <w:rPr>
                <w:rFonts w:ascii="Times New Roman" w:hAnsi="Times New Roman"/>
                <w:sz w:val="24"/>
              </w:rPr>
              <w:t xml:space="preserve">: </w:t>
            </w:r>
            <w:r>
              <w:rPr>
                <w:rFonts w:ascii="Times New Roman" w:hAnsi="Times New Roman"/>
                <w:sz w:val="24"/>
              </w:rPr>
              <w:t xml:space="preserve">Камчатский </w:t>
            </w:r>
            <w:r>
              <w:rPr>
                <w:rFonts w:ascii="Times New Roman" w:hAnsi="Times New Roman"/>
                <w:sz w:val="24"/>
              </w:rPr>
              <w:t xml:space="preserve">край,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z w:val="24"/>
              </w:rPr>
              <w:t>Петропавловск-Камчатский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 xml:space="preserve">ул. </w:t>
            </w:r>
            <w:r>
              <w:rPr>
                <w:rFonts w:ascii="Times New Roman" w:hAnsi="Times New Roman"/>
                <w:sz w:val="24"/>
              </w:rPr>
              <w:t>Набережная</w:t>
            </w:r>
            <w:r>
              <w:rPr>
                <w:rFonts w:ascii="Times New Roman" w:hAnsi="Times New Roman"/>
                <w:sz w:val="24"/>
              </w:rPr>
              <w:t xml:space="preserve">, д. </w:t>
            </w:r>
            <w:r>
              <w:rPr>
                <w:rFonts w:ascii="Times New Roman" w:hAnsi="Times New Roman"/>
                <w:sz w:val="24"/>
              </w:rPr>
              <w:t xml:space="preserve">10, </w:t>
            </w:r>
            <w:r>
              <w:rPr>
                <w:rFonts w:ascii="Times New Roman" w:hAnsi="Times New Roman"/>
                <w:sz w:val="24"/>
              </w:rPr>
              <w:t xml:space="preserve">адрес электронной почты: 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"mailto:sekr1@kamenergo.ru"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sekr1@kamenergo.ru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rPr>
          <w:trHeight w:hRule="exact" w:val="3344"/>
        </w:trPr>
        <w:tc>
          <w:tcPr>
            <w:tcW w:type="dxa" w:w="802"/>
            <w:gridSpan w:val="1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4922"/>
            <w:gridSpan w:val="1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72"/>
              <w:bottom w:type="dxa" w:w="0"/>
              <w:right w:type="dxa" w:w="72"/>
            </w:tcMar>
            <w:vAlign w:val="center"/>
          </w:tcPr>
          <w:p/>
        </w:tc>
        <w:tc>
          <w:tcPr>
            <w:tcW w:type="dxa" w:w="3917"/>
            <w:gridSpan w:val="1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72"/>
              <w:bottom w:type="dxa" w:w="0"/>
              <w:right w:type="dxa" w:w="72"/>
            </w:tcMar>
            <w:vAlign w:val="center"/>
          </w:tcPr>
          <w:p/>
        </w:tc>
      </w:tr>
    </w:tbl>
    <w:p w14:paraId="5E000000">
      <w:pPr>
        <w:ind w:firstLine="0" w:left="-992"/>
        <w:rPr>
          <w:rFonts w:ascii="Times New Roman" w:hAnsi="Times New Roman"/>
          <w:sz w:val="24"/>
        </w:rPr>
      </w:pPr>
      <w:r>
        <w:drawing>
          <wp:inline>
            <wp:extent cx="7067549" cy="9972673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7067549" cy="9972673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7058024" cy="9982198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7058024" cy="9982198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7067549" cy="10001248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7067549" cy="10001248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7048499" cy="9982198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7048499" cy="9982198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7029449" cy="9925048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7029449" cy="9925048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7058024" cy="9991723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7058024" cy="9991723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7067549" cy="9991723"/>
            <wp:effectExtent b="0" l="0" r="0" t="0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7067549" cy="999172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F000000">
      <w:pPr>
        <w:sectPr>
          <w:headerReference r:id="rId1" w:type="default"/>
          <w:pgSz w:h="16848" w:orient="portrait" w:w="11908"/>
          <w:pgMar w:bottom="1134" w:footer="709" w:gutter="0" w:header="709" w:left="1417" w:right="850" w:top="1134"/>
          <w:titlePg/>
        </w:sectPr>
      </w:pPr>
    </w:p>
    <w:p w14:paraId="60000000">
      <w:pPr>
        <w:ind w:firstLine="0" w:left="567"/>
        <w:rPr>
          <w:rFonts w:ascii="Times New Roman" w:hAnsi="Times New Roman"/>
          <w:sz w:val="24"/>
        </w:rPr>
      </w:pPr>
      <w:r>
        <w:drawing>
          <wp:inline>
            <wp:extent cx="13096873" cy="9315449"/>
            <wp:effectExtent b="0" l="0" r="0" t="0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11"/>
                    <a:stretch/>
                  </pic:blipFill>
                  <pic:spPr>
                    <a:xfrm flipH="false" flipV="false" rot="0">
                      <a:ext cx="13096873" cy="931544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1000000">
      <w:pPr>
        <w:ind w:firstLine="0" w:left="567"/>
        <w:rPr>
          <w:rFonts w:ascii="Times New Roman" w:hAnsi="Times New Roman"/>
          <w:sz w:val="24"/>
        </w:rPr>
      </w:pPr>
      <w:r>
        <w:drawing>
          <wp:inline>
            <wp:extent cx="13049317" cy="9225514"/>
            <wp:effectExtent b="0" l="0" r="0" t="0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12"/>
                    <a:stretch/>
                  </pic:blipFill>
                  <pic:spPr>
                    <a:xfrm flipH="false" flipV="false" rot="0">
                      <a:ext cx="13049317" cy="922551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2000000">
      <w:pPr>
        <w:ind w:firstLine="0" w:left="567"/>
        <w:rPr>
          <w:rFonts w:ascii="Times New Roman" w:hAnsi="Times New Roman"/>
          <w:sz w:val="24"/>
        </w:rPr>
      </w:pPr>
      <w:r>
        <w:drawing>
          <wp:inline>
            <wp:extent cx="13049317" cy="9225514"/>
            <wp:effectExtent b="0" l="0" r="0" t="0"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13"/>
                    <a:stretch/>
                  </pic:blipFill>
                  <pic:spPr>
                    <a:xfrm flipH="false" flipV="false" rot="0">
                      <a:ext cx="13049317" cy="922551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3000000">
      <w:pPr>
        <w:ind w:firstLine="0" w:left="567"/>
        <w:rPr>
          <w:rFonts w:ascii="Times New Roman" w:hAnsi="Times New Roman"/>
          <w:sz w:val="24"/>
        </w:rPr>
      </w:pPr>
      <w:r>
        <w:drawing>
          <wp:inline>
            <wp:extent cx="13049317" cy="9225514"/>
            <wp:effectExtent b="0" l="0" r="0" t="0"/>
            <wp:docPr hidden="false" id="24" name="Picture 24"/>
            <a:graphic>
              <a:graphicData uri="http://schemas.openxmlformats.org/drawingml/2006/picture">
                <pic:pic>
                  <pic:nvPicPr>
                    <pic:cNvPr hidden="false" id="23" name="Picture 23"/>
                    <pic:cNvPicPr preferRelativeResize="true"/>
                  </pic:nvPicPr>
                  <pic:blipFill>
                    <a:blip r:embed="rId14"/>
                    <a:stretch/>
                  </pic:blipFill>
                  <pic:spPr>
                    <a:xfrm flipH="false" flipV="false" rot="0">
                      <a:ext cx="13049317" cy="922551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4000000">
      <w:pPr>
        <w:ind w:firstLine="0" w:left="567"/>
        <w:rPr>
          <w:rFonts w:ascii="Times New Roman" w:hAnsi="Times New Roman"/>
          <w:sz w:val="24"/>
        </w:rPr>
      </w:pPr>
      <w:r>
        <w:drawing>
          <wp:inline>
            <wp:extent cx="13049317" cy="9225514"/>
            <wp:effectExtent b="0" l="0" r="0" t="0"/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5" name="Picture 25"/>
                    <pic:cNvPicPr preferRelativeResize="true"/>
                  </pic:nvPicPr>
                  <pic:blipFill>
                    <a:blip r:embed="rId15"/>
                    <a:stretch/>
                  </pic:blipFill>
                  <pic:spPr>
                    <a:xfrm flipH="false" flipV="false" rot="0">
                      <a:ext cx="13049317" cy="922551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5000000">
      <w:pPr>
        <w:ind w:firstLine="0" w:left="567"/>
        <w:rPr>
          <w:rFonts w:ascii="Times New Roman" w:hAnsi="Times New Roman"/>
          <w:sz w:val="24"/>
        </w:rPr>
      </w:pPr>
      <w:r>
        <w:drawing>
          <wp:inline>
            <wp:extent cx="13049317" cy="9225514"/>
            <wp:effectExtent b="0" l="0" r="0" t="0"/>
            <wp:docPr hidden="false" id="28" name="Picture 28"/>
            <a:graphic>
              <a:graphicData uri="http://schemas.openxmlformats.org/drawingml/2006/picture">
                <pic:pic>
                  <pic:nvPicPr>
                    <pic:cNvPr hidden="false" id="27" name="Picture 27"/>
                    <pic:cNvPicPr preferRelativeResize="true"/>
                  </pic:nvPicPr>
                  <pic:blipFill>
                    <a:blip r:embed="rId16"/>
                    <a:stretch/>
                  </pic:blipFill>
                  <pic:spPr>
                    <a:xfrm flipH="false" flipV="false" rot="0">
                      <a:ext cx="13049317" cy="922551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6000000">
      <w:pPr>
        <w:ind w:firstLine="0" w:left="567"/>
        <w:rPr>
          <w:rFonts w:ascii="Times New Roman" w:hAnsi="Times New Roman"/>
          <w:sz w:val="24"/>
        </w:rPr>
      </w:pPr>
      <w:r>
        <w:drawing>
          <wp:inline>
            <wp:extent cx="13049317" cy="9225514"/>
            <wp:effectExtent b="0" l="0" r="0" t="0"/>
            <wp:docPr hidden="false" id="30" name="Picture 30"/>
            <a:graphic>
              <a:graphicData uri="http://schemas.openxmlformats.org/drawingml/2006/picture">
                <pic:pic>
                  <pic:nvPicPr>
                    <pic:cNvPr hidden="false" id="29" name="Picture 29"/>
                    <pic:cNvPicPr preferRelativeResize="true"/>
                  </pic:nvPicPr>
                  <pic:blipFill>
                    <a:blip r:embed="rId17"/>
                    <a:stretch/>
                  </pic:blipFill>
                  <pic:spPr>
                    <a:xfrm flipH="false" flipV="false" rot="0">
                      <a:ext cx="13049317" cy="9225514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r:id="rId2" w:type="default"/>
      <w:type w:val="nextPage"/>
      <w:pgSz w:h="16848" w:orient="landscape" w:w="23818"/>
      <w:pgMar w:bottom="1134" w:footer="709" w:gutter="0" w:header="709" w:left="1417" w:right="850" w:top="1134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ind/>
      <w:jc w:val="center"/>
      <w:rPr>
        <w:rFonts w:ascii="Times New Roman" w:hAnsi="Times New Roman"/>
        <w:sz w:val="28"/>
      </w:rPr>
    </w:pPr>
  </w:p>
</w:hd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2000000">
    <w:pPr>
      <w:pStyle w:val="Style_1"/>
      <w:ind/>
      <w:jc w:val="center"/>
      <w:rPr>
        <w:rFonts w:ascii="Times New Roman" w:hAnsi="Times New Roman"/>
        <w:sz w:val="28"/>
      </w:rPr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1">
    <w:lvl w:ilvl="0">
      <w:start w:val="1"/>
      <w:numFmt w:val="decimal"/>
      <w:lvlText w:val="%1)"/>
      <w:pPr>
        <w:ind w:hanging="360" w:left="720"/>
      </w:pPr>
    </w:lvl>
    <w:lvl w:ilvl="1">
      <w:start w:val="1"/>
      <w:numFmt w:val="russianLower"/>
      <w:lvlText w:val="%2)"/>
      <w:pPr>
        <w:ind w:hanging="360" w:left="1440"/>
      </w:pPr>
    </w:lvl>
    <w:lvl w:ilvl="2">
      <w:start w:val="1"/>
      <w:numFmt w:val="lowerRoman"/>
      <w:lvlText w:val="%3)"/>
      <w:lvlJc w:val="right"/>
      <w:pPr>
        <w:ind w:hanging="360" w:left="2160"/>
      </w:pPr>
    </w:lvl>
    <w:lvl w:ilvl="3">
      <w:start w:val="1"/>
      <w:numFmt w:val="decimal"/>
      <w:lvlText w:val="%4)"/>
      <w:pPr>
        <w:ind w:hanging="360" w:left="2880"/>
      </w:pPr>
    </w:lvl>
    <w:lvl w:ilvl="4">
      <w:start w:val="1"/>
      <w:numFmt w:val="russianLower"/>
      <w:lvlText w:val="%5)"/>
      <w:pPr>
        <w:ind w:hanging="360" w:left="3600"/>
      </w:pPr>
    </w:lvl>
    <w:lvl w:ilvl="5">
      <w:start w:val="1"/>
      <w:numFmt w:val="lowerRoman"/>
      <w:lvlText w:val="%6)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russianLow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2">
    <w:lvl w:ilvl="0">
      <w:start w:val="1"/>
      <w:numFmt w:val="decimal"/>
      <w:lvlText w:val="%1)"/>
      <w:pPr>
        <w:ind w:hanging="360" w:left="720"/>
      </w:pPr>
    </w:lvl>
    <w:lvl w:ilvl="1">
      <w:start w:val="1"/>
      <w:numFmt w:val="russianLower"/>
      <w:lvlText w:val="%2)"/>
      <w:pPr>
        <w:ind w:hanging="360" w:left="1440"/>
      </w:pPr>
    </w:lvl>
    <w:lvl w:ilvl="2">
      <w:start w:val="1"/>
      <w:numFmt w:val="lowerRoman"/>
      <w:lvlText w:val="%3)"/>
      <w:lvlJc w:val="right"/>
      <w:pPr>
        <w:ind w:hanging="360" w:left="2160"/>
      </w:pPr>
    </w:lvl>
    <w:lvl w:ilvl="3">
      <w:start w:val="1"/>
      <w:numFmt w:val="decimal"/>
      <w:lvlText w:val="%4)"/>
      <w:pPr>
        <w:ind w:hanging="360" w:left="2880"/>
      </w:pPr>
    </w:lvl>
    <w:lvl w:ilvl="4">
      <w:start w:val="1"/>
      <w:numFmt w:val="russianLower"/>
      <w:lvlText w:val="%5)"/>
      <w:pPr>
        <w:ind w:hanging="360" w:left="3600"/>
      </w:pPr>
    </w:lvl>
    <w:lvl w:ilvl="5">
      <w:start w:val="1"/>
      <w:numFmt w:val="lowerRoman"/>
      <w:lvlText w:val="%6)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russianLow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5" w:type="paragraph">
    <w:name w:val="Normal"/>
    <w:link w:val="Style_5_ch"/>
    <w:uiPriority w:val="0"/>
    <w:qFormat/>
  </w:style>
  <w:style w:default="1" w:styleId="Style_5_ch" w:type="character">
    <w:name w:val="Normal"/>
    <w:link w:val="Style_5"/>
  </w:style>
  <w:style w:styleId="Style_6" w:type="paragraph">
    <w:name w:val="toc 2"/>
    <w:next w:val="Style_5"/>
    <w:link w:val="Style_6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6_ch" w:type="character">
    <w:name w:val="toc 2"/>
    <w:link w:val="Style_6"/>
    <w:rPr>
      <w:rFonts w:ascii="XO Thames" w:hAnsi="XO Thames"/>
      <w:sz w:val="28"/>
    </w:rPr>
  </w:style>
  <w:style w:styleId="Style_7" w:type="paragraph">
    <w:name w:val="footer"/>
    <w:basedOn w:val="Style_5"/>
    <w:link w:val="Style_7_ch"/>
    <w:pPr>
      <w:tabs>
        <w:tab w:leader="none" w:pos="4677" w:val="center"/>
        <w:tab w:leader="none" w:pos="9355" w:val="right"/>
      </w:tabs>
      <w:spacing w:after="0" w:line="240" w:lineRule="auto"/>
      <w:ind/>
    </w:pPr>
    <w:rPr>
      <w:rFonts w:ascii="Times New Roman" w:hAnsi="Times New Roman"/>
      <w:sz w:val="28"/>
    </w:rPr>
  </w:style>
  <w:style w:styleId="Style_7_ch" w:type="character">
    <w:name w:val="footer"/>
    <w:basedOn w:val="Style_5_ch"/>
    <w:link w:val="Style_7"/>
    <w:rPr>
      <w:rFonts w:ascii="Times New Roman" w:hAnsi="Times New Roman"/>
      <w:sz w:val="28"/>
    </w:rPr>
  </w:style>
  <w:style w:styleId="Style_8" w:type="paragraph">
    <w:name w:val="Endnote"/>
    <w:link w:val="Style_8_ch"/>
    <w:pPr>
      <w:ind w:firstLine="851" w:left="0"/>
      <w:jc w:val="both"/>
    </w:pPr>
    <w:rPr>
      <w:rFonts w:ascii="XO Thames" w:hAnsi="XO Thames"/>
      <w:sz w:val="22"/>
    </w:rPr>
  </w:style>
  <w:style w:styleId="Style_8_ch" w:type="character">
    <w:name w:val="Endnote"/>
    <w:link w:val="Style_8"/>
    <w:rPr>
      <w:rFonts w:ascii="XO Thames" w:hAnsi="XO Thames"/>
      <w:sz w:val="22"/>
    </w:rPr>
  </w:style>
  <w:style w:styleId="Style_9" w:type="paragraph">
    <w:name w:val="toc 4"/>
    <w:next w:val="Style_5"/>
    <w:link w:val="Style_9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9_ch" w:type="character">
    <w:name w:val="toc 4"/>
    <w:link w:val="Style_9"/>
    <w:rPr>
      <w:rFonts w:ascii="XO Thames" w:hAnsi="XO Thames"/>
      <w:sz w:val="28"/>
    </w:rPr>
  </w:style>
  <w:style w:styleId="Style_10" w:type="paragraph">
    <w:name w:val="Plain Text"/>
    <w:basedOn w:val="Style_5"/>
    <w:link w:val="Style_10_ch"/>
    <w:pPr>
      <w:spacing w:after="0" w:line="240" w:lineRule="auto"/>
      <w:ind/>
    </w:pPr>
    <w:rPr>
      <w:rFonts w:ascii="Calibri" w:hAnsi="Calibri"/>
    </w:rPr>
  </w:style>
  <w:style w:styleId="Style_10_ch" w:type="character">
    <w:name w:val="Plain Text"/>
    <w:basedOn w:val="Style_5_ch"/>
    <w:link w:val="Style_10"/>
    <w:rPr>
      <w:rFonts w:ascii="Calibri" w:hAnsi="Calibri"/>
    </w:rPr>
  </w:style>
  <w:style w:styleId="Style_11" w:type="paragraph">
    <w:name w:val="toc 6"/>
    <w:next w:val="Style_5"/>
    <w:link w:val="Style_11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1_ch" w:type="character">
    <w:name w:val="toc 6"/>
    <w:link w:val="Style_11"/>
    <w:rPr>
      <w:rFonts w:ascii="XO Thames" w:hAnsi="XO Thames"/>
      <w:sz w:val="28"/>
    </w:rPr>
  </w:style>
  <w:style w:styleId="Style_12" w:type="paragraph">
    <w:name w:val="toc 7"/>
    <w:next w:val="Style_5"/>
    <w:link w:val="Style_12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2_ch" w:type="character">
    <w:name w:val="toc 7"/>
    <w:link w:val="Style_12"/>
    <w:rPr>
      <w:rFonts w:ascii="XO Thames" w:hAnsi="XO Thames"/>
      <w:sz w:val="28"/>
    </w:rPr>
  </w:style>
  <w:style w:styleId="Style_13" w:type="paragraph">
    <w:name w:val="heading 3"/>
    <w:next w:val="Style_5"/>
    <w:link w:val="Style_13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3_ch" w:type="character">
    <w:name w:val="heading 3"/>
    <w:link w:val="Style_13"/>
    <w:rPr>
      <w:rFonts w:ascii="XO Thames" w:hAnsi="XO Thames"/>
      <w:b w:val="1"/>
      <w:sz w:val="26"/>
    </w:rPr>
  </w:style>
  <w:style w:styleId="Style_14" w:type="paragraph">
    <w:name w:val="Balloon Text"/>
    <w:basedOn w:val="Style_5"/>
    <w:link w:val="Style_14_ch"/>
    <w:pPr>
      <w:spacing w:after="0" w:line="240" w:lineRule="auto"/>
      <w:ind/>
    </w:pPr>
    <w:rPr>
      <w:rFonts w:ascii="Segoe UI" w:hAnsi="Segoe UI"/>
      <w:sz w:val="18"/>
    </w:rPr>
  </w:style>
  <w:style w:styleId="Style_14_ch" w:type="character">
    <w:name w:val="Balloon Text"/>
    <w:basedOn w:val="Style_5_ch"/>
    <w:link w:val="Style_14"/>
    <w:rPr>
      <w:rFonts w:ascii="Segoe UI" w:hAnsi="Segoe UI"/>
      <w:sz w:val="18"/>
    </w:rPr>
  </w:style>
  <w:style w:styleId="Style_15" w:type="paragraph">
    <w:name w:val="toc 3"/>
    <w:next w:val="Style_5"/>
    <w:link w:val="Style_15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5_ch" w:type="character">
    <w:name w:val="toc 3"/>
    <w:link w:val="Style_15"/>
    <w:rPr>
      <w:rFonts w:ascii="XO Thames" w:hAnsi="XO Thames"/>
      <w:sz w:val="28"/>
    </w:rPr>
  </w:style>
  <w:style w:styleId="Style_16" w:type="paragraph">
    <w:name w:val="Default Paragraph Font"/>
    <w:link w:val="Style_16_ch"/>
  </w:style>
  <w:style w:styleId="Style_16_ch" w:type="character">
    <w:name w:val="Default Paragraph Font"/>
    <w:link w:val="Style_16"/>
  </w:style>
  <w:style w:styleId="Style_17" w:type="paragraph">
    <w:name w:val="heading 5"/>
    <w:next w:val="Style_5"/>
    <w:link w:val="Style_17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7_ch" w:type="character">
    <w:name w:val="heading 5"/>
    <w:link w:val="Style_17"/>
    <w:rPr>
      <w:rFonts w:ascii="XO Thames" w:hAnsi="XO Thames"/>
      <w:b w:val="1"/>
      <w:sz w:val="22"/>
    </w:rPr>
  </w:style>
  <w:style w:styleId="Style_18" w:type="paragraph">
    <w:name w:val="heading 1"/>
    <w:next w:val="Style_5"/>
    <w:link w:val="Style_18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8_ch" w:type="character">
    <w:name w:val="heading 1"/>
    <w:link w:val="Style_18"/>
    <w:rPr>
      <w:rFonts w:ascii="XO Thames" w:hAnsi="XO Thames"/>
      <w:b w:val="1"/>
      <w:sz w:val="32"/>
    </w:rPr>
  </w:style>
  <w:style w:styleId="Style_4" w:type="paragraph">
    <w:name w:val="Hyperlink"/>
    <w:basedOn w:val="Style_16"/>
    <w:link w:val="Style_4_ch"/>
    <w:rPr>
      <w:color w:themeColor="hyperlink" w:val="0563C1"/>
      <w:u w:val="single"/>
    </w:rPr>
  </w:style>
  <w:style w:styleId="Style_4_ch" w:type="character">
    <w:name w:val="Hyperlink"/>
    <w:basedOn w:val="Style_16_ch"/>
    <w:link w:val="Style_4"/>
    <w:rPr>
      <w:color w:themeColor="hyperlink" w:val="0563C1"/>
      <w:u w:val="single"/>
    </w:rPr>
  </w:style>
  <w:style w:styleId="Style_19" w:type="paragraph">
    <w:name w:val="Footnote"/>
    <w:link w:val="Style_19_ch"/>
    <w:pPr>
      <w:ind w:firstLine="851" w:left="0"/>
      <w:jc w:val="both"/>
    </w:pPr>
    <w:rPr>
      <w:rFonts w:ascii="XO Thames" w:hAnsi="XO Thames"/>
      <w:sz w:val="22"/>
    </w:rPr>
  </w:style>
  <w:style w:styleId="Style_19_ch" w:type="character">
    <w:name w:val="Footnote"/>
    <w:link w:val="Style_19"/>
    <w:rPr>
      <w:rFonts w:ascii="XO Thames" w:hAnsi="XO Thames"/>
      <w:sz w:val="22"/>
    </w:rPr>
  </w:style>
  <w:style w:styleId="Style_20" w:type="paragraph">
    <w:name w:val="toc 1"/>
    <w:next w:val="Style_5"/>
    <w:link w:val="Style_20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0_ch" w:type="character">
    <w:name w:val="toc 1"/>
    <w:link w:val="Style_20"/>
    <w:rPr>
      <w:rFonts w:ascii="XO Thames" w:hAnsi="XO Thames"/>
      <w:b w:val="1"/>
      <w:sz w:val="28"/>
    </w:rPr>
  </w:style>
  <w:style w:styleId="Style_21" w:type="paragraph">
    <w:name w:val="Header and Footer"/>
    <w:link w:val="Style_21_ch"/>
    <w:pPr>
      <w:spacing w:line="240" w:lineRule="auto"/>
      <w:ind/>
      <w:jc w:val="both"/>
    </w:pPr>
    <w:rPr>
      <w:rFonts w:ascii="XO Thames" w:hAnsi="XO Thames"/>
      <w:sz w:val="28"/>
    </w:rPr>
  </w:style>
  <w:style w:styleId="Style_21_ch" w:type="character">
    <w:name w:val="Header and Footer"/>
    <w:link w:val="Style_21"/>
    <w:rPr>
      <w:rFonts w:ascii="XO Thames" w:hAnsi="XO Thames"/>
      <w:sz w:val="28"/>
    </w:rPr>
  </w:style>
  <w:style w:styleId="Style_22" w:type="paragraph">
    <w:name w:val="toc 9"/>
    <w:next w:val="Style_5"/>
    <w:link w:val="Style_22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2_ch" w:type="character">
    <w:name w:val="toc 9"/>
    <w:link w:val="Style_22"/>
    <w:rPr>
      <w:rFonts w:ascii="XO Thames" w:hAnsi="XO Thames"/>
      <w:sz w:val="28"/>
    </w:rPr>
  </w:style>
  <w:style w:styleId="Style_1" w:type="paragraph">
    <w:name w:val="header"/>
    <w:basedOn w:val="Style_5"/>
    <w:link w:val="Style_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_ch" w:type="character">
    <w:name w:val="header"/>
    <w:basedOn w:val="Style_5_ch"/>
    <w:link w:val="Style_1"/>
  </w:style>
  <w:style w:styleId="Style_23" w:type="paragraph">
    <w:name w:val="toc 8"/>
    <w:next w:val="Style_5"/>
    <w:link w:val="Style_23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3_ch" w:type="character">
    <w:name w:val="toc 8"/>
    <w:link w:val="Style_23"/>
    <w:rPr>
      <w:rFonts w:ascii="XO Thames" w:hAnsi="XO Thames"/>
      <w:sz w:val="28"/>
    </w:rPr>
  </w:style>
  <w:style w:styleId="Style_24" w:type="paragraph">
    <w:name w:val="toc 5"/>
    <w:next w:val="Style_5"/>
    <w:link w:val="Style_24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4_ch" w:type="character">
    <w:name w:val="toc 5"/>
    <w:link w:val="Style_24"/>
    <w:rPr>
      <w:rFonts w:ascii="XO Thames" w:hAnsi="XO Thames"/>
      <w:sz w:val="28"/>
    </w:rPr>
  </w:style>
  <w:style w:styleId="Style_25" w:type="paragraph">
    <w:name w:val="Subtitle"/>
    <w:next w:val="Style_5"/>
    <w:link w:val="Style_25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5_ch" w:type="character">
    <w:name w:val="Subtitle"/>
    <w:link w:val="Style_25"/>
    <w:rPr>
      <w:rFonts w:ascii="XO Thames" w:hAnsi="XO Thames"/>
      <w:i w:val="1"/>
      <w:sz w:val="24"/>
    </w:rPr>
  </w:style>
  <w:style w:styleId="Style_26" w:type="paragraph">
    <w:name w:val="Title"/>
    <w:next w:val="Style_5"/>
    <w:link w:val="Style_26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6_ch" w:type="character">
    <w:name w:val="Title"/>
    <w:link w:val="Style_26"/>
    <w:rPr>
      <w:rFonts w:ascii="XO Thames" w:hAnsi="XO Thames"/>
      <w:b w:val="1"/>
      <w:caps w:val="1"/>
      <w:sz w:val="40"/>
    </w:rPr>
  </w:style>
  <w:style w:styleId="Style_27" w:type="paragraph">
    <w:name w:val="heading 4"/>
    <w:next w:val="Style_5"/>
    <w:link w:val="Style_27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7_ch" w:type="character">
    <w:name w:val="heading 4"/>
    <w:link w:val="Style_27"/>
    <w:rPr>
      <w:rFonts w:ascii="XO Thames" w:hAnsi="XO Thames"/>
      <w:b w:val="1"/>
      <w:sz w:val="24"/>
    </w:rPr>
  </w:style>
  <w:style w:styleId="Style_28" w:type="paragraph">
    <w:name w:val="heading 2"/>
    <w:next w:val="Style_5"/>
    <w:link w:val="Style_28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8_ch" w:type="character">
    <w:name w:val="heading 2"/>
    <w:link w:val="Style_28"/>
    <w:rPr>
      <w:rFonts w:ascii="XO Thames" w:hAnsi="XO Thames"/>
      <w:b w:val="1"/>
      <w:sz w:val="28"/>
    </w:rPr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9" w:type="table">
    <w:name w:val="Сетка таблицы1"/>
    <w:basedOn w:val="Style_2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0" w:type="table">
    <w:name w:val="Сетка таблицы2"/>
    <w:basedOn w:val="Style_2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" w:type="table">
    <w:name w:val="Table Grid"/>
    <w:basedOn w:val="Style_2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3" Target="theme/theme1.xml" Type="http://schemas.openxmlformats.org/officeDocument/2006/relationships/theme"/>
  <Relationship Id="rId22" Target="webSettings.xml" Type="http://schemas.openxmlformats.org/officeDocument/2006/relationships/webSettings"/>
  <Relationship Id="rId21" Target="stylesWithEffects.xml" Type="http://schemas.microsoft.com/office/2007/relationships/stylesWithEffects"/>
  <Relationship Id="rId13" Target="media/11.jpeg" Type="http://schemas.openxmlformats.org/officeDocument/2006/relationships/image"/>
  <Relationship Id="rId24" Target="numbering.xml" Type="http://schemas.openxmlformats.org/officeDocument/2006/relationships/numbering"/>
  <Relationship Id="rId11" Target="media/9.jpeg" Type="http://schemas.openxmlformats.org/officeDocument/2006/relationships/image"/>
  <Relationship Id="rId18" Target="fontTable.xml" Type="http://schemas.openxmlformats.org/officeDocument/2006/relationships/fontTable"/>
  <Relationship Id="rId17" Target="media/15.jpeg" Type="http://schemas.openxmlformats.org/officeDocument/2006/relationships/image"/>
  <Relationship Id="rId10" Target="media/8.jpeg" Type="http://schemas.openxmlformats.org/officeDocument/2006/relationships/image"/>
  <Relationship Id="rId15" Target="media/13.jpeg" Type="http://schemas.openxmlformats.org/officeDocument/2006/relationships/image"/>
  <Relationship Id="rId9" Target="media/7.jpeg" Type="http://schemas.openxmlformats.org/officeDocument/2006/relationships/image"/>
  <Relationship Id="rId20" Target="styles.xml" Type="http://schemas.openxmlformats.org/officeDocument/2006/relationships/styles"/>
  <Relationship Id="rId19" Target="settings.xml" Type="http://schemas.openxmlformats.org/officeDocument/2006/relationships/settings"/>
  <Relationship Id="rId8" Target="media/6.jpeg" Type="http://schemas.openxmlformats.org/officeDocument/2006/relationships/image"/>
  <Relationship Id="rId7" Target="media/5.jpeg" Type="http://schemas.openxmlformats.org/officeDocument/2006/relationships/image"/>
  <Relationship Id="rId14" Target="media/12.jpeg" Type="http://schemas.openxmlformats.org/officeDocument/2006/relationships/image"/>
  <Relationship Id="rId6" Target="media/4.jpeg" Type="http://schemas.openxmlformats.org/officeDocument/2006/relationships/image"/>
  <Relationship Id="rId5" Target="media/3.jpeg" Type="http://schemas.openxmlformats.org/officeDocument/2006/relationships/image"/>
  <Relationship Id="rId4" Target="media/2.jpeg" Type="http://schemas.openxmlformats.org/officeDocument/2006/relationships/image"/>
  <Relationship Id="rId16" Target="media/14.jpeg" Type="http://schemas.openxmlformats.org/officeDocument/2006/relationships/image"/>
  <Relationship Id="rId12" Target="media/10.jpeg" Type="http://schemas.openxmlformats.org/officeDocument/2006/relationships/image"/>
  <Relationship Id="rId3" Target="media/1.jpeg" Type="http://schemas.openxmlformats.org/officeDocument/2006/relationships/image"/>
  <Relationship Id="rId2" Target="header2.xml" Type="http://schemas.openxmlformats.org/officeDocument/2006/relationships/head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2025-03-10T04:14:52Z</dcterms:modified>
</cp:coreProperties>
</file>