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5032" w:val="center"/>
          <w:tab w:leader="none" w:pos="7125" w:val="left"/>
        </w:tabs>
        <w:ind w:hanging="284" w:left="284" w:right="14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Обзор обращений граждан, поступивших в Министерство имущества и земельных отношений Камчатского края, за 4 квартал 2024 года.</w:t>
      </w:r>
    </w:p>
    <w:p w14:paraId="02000000">
      <w:pPr>
        <w:tabs>
          <w:tab w:leader="none" w:pos="5032" w:val="center"/>
          <w:tab w:leader="none" w:pos="7125" w:val="left"/>
        </w:tabs>
        <w:ind w:hanging="284" w:left="284" w:right="140"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tabs>
          <w:tab w:leader="none" w:pos="5032" w:val="center"/>
          <w:tab w:leader="none" w:pos="7125" w:val="left"/>
        </w:tabs>
        <w:ind w:firstLine="709" w:left="0" w:right="14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В отчетном периоде обращения граждан поступали в Министерство имущества и земельных отношений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Камчатского края (далее – </w:t>
      </w:r>
      <w:r>
        <w:rPr>
          <w:rFonts w:ascii="Times New Roman" w:hAnsi="Times New Roman"/>
          <w:sz w:val="28"/>
        </w:rPr>
        <w:t>Министерство) непосредственно от заявителей, а так</w:t>
      </w:r>
      <w:r>
        <w:rPr>
          <w:rFonts w:ascii="Times New Roman" w:hAnsi="Times New Roman"/>
          <w:sz w:val="28"/>
        </w:rPr>
        <w:t>же из органов государственной власти Камчатского края, из подведомственных центров занятости населения Камчатского края, в порядке, предусмотренном пунктом 3 статьи 8 Закона РФ от 02.05.2006 № 59-ФЗ «О пор</w:t>
      </w:r>
      <w:r>
        <w:rPr>
          <w:rFonts w:ascii="Times New Roman" w:hAnsi="Times New Roman"/>
          <w:sz w:val="28"/>
        </w:rPr>
        <w:t>ядке рассмотрения обращений граждан Российской Федерации».</w:t>
      </w:r>
    </w:p>
    <w:p w14:paraId="04000000">
      <w:pPr>
        <w:spacing w:after="0"/>
        <w:ind w:firstLine="709" w:left="0" w:righ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Министерство с</w:t>
      </w:r>
      <w:r>
        <w:rPr>
          <w:rFonts w:ascii="Times New Roman" w:hAnsi="Times New Roman"/>
          <w:b w:val="1"/>
          <w:sz w:val="28"/>
        </w:rPr>
        <w:t xml:space="preserve"> 1 октября по 31 декабря 2024 года</w:t>
      </w:r>
      <w:r>
        <w:rPr>
          <w:rFonts w:ascii="Times New Roman" w:hAnsi="Times New Roman"/>
          <w:sz w:val="28"/>
        </w:rPr>
        <w:t xml:space="preserve"> от граждан поступило</w:t>
      </w:r>
      <w:r>
        <w:rPr>
          <w:rFonts w:ascii="Times New Roman" w:hAnsi="Times New Roman"/>
          <w:b w:val="1"/>
          <w:sz w:val="28"/>
        </w:rPr>
        <w:t xml:space="preserve"> 6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sz w:val="28"/>
        </w:rPr>
        <w:t xml:space="preserve"> обращения. </w:t>
      </w:r>
      <w:r>
        <w:rPr>
          <w:rFonts w:ascii="Times New Roman" w:hAnsi="Times New Roman"/>
          <w:color w:themeColor="text1" w:val="000000"/>
          <w:sz w:val="28"/>
        </w:rPr>
        <w:t xml:space="preserve">Из общего количества: получены по электронной почте – </w:t>
      </w:r>
      <w:r>
        <w:rPr>
          <w:rFonts w:ascii="Times New Roman" w:hAnsi="Times New Roman"/>
          <w:b w:val="1"/>
          <w:color w:themeColor="text1" w:val="000000"/>
          <w:sz w:val="28"/>
        </w:rPr>
        <w:t>2</w:t>
      </w:r>
      <w:r>
        <w:rPr>
          <w:rFonts w:ascii="Times New Roman" w:hAnsi="Times New Roman"/>
          <w:color w:themeColor="text1" w:val="000000"/>
          <w:sz w:val="28"/>
        </w:rPr>
        <w:t>, получено через интернет-приемную –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10</w:t>
      </w:r>
      <w:r>
        <w:rPr>
          <w:rFonts w:ascii="Times New Roman" w:hAnsi="Times New Roman"/>
          <w:color w:themeColor="text1" w:val="000000"/>
          <w:sz w:val="28"/>
        </w:rPr>
        <w:t>, поступили</w:t>
      </w:r>
      <w:r>
        <w:rPr>
          <w:rFonts w:ascii="Times New Roman" w:hAnsi="Times New Roman"/>
          <w:color w:themeColor="text1" w:val="000000"/>
          <w:sz w:val="28"/>
        </w:rPr>
        <w:t xml:space="preserve"> во время личного приема – </w:t>
      </w:r>
      <w:r>
        <w:rPr>
          <w:rFonts w:ascii="Times New Roman" w:hAnsi="Times New Roman"/>
          <w:b w:val="1"/>
          <w:color w:themeColor="text1" w:val="000000"/>
          <w:sz w:val="28"/>
        </w:rPr>
        <w:t>44</w:t>
      </w:r>
      <w:r>
        <w:rPr>
          <w:rFonts w:ascii="Times New Roman" w:hAnsi="Times New Roman"/>
          <w:color w:themeColor="text1" w:val="000000"/>
          <w:sz w:val="28"/>
        </w:rPr>
        <w:t xml:space="preserve"> и </w:t>
      </w:r>
      <w:r>
        <w:rPr>
          <w:rFonts w:ascii="Times New Roman" w:hAnsi="Times New Roman"/>
          <w:b w:val="1"/>
          <w:color w:themeColor="text1" w:val="000000"/>
          <w:sz w:val="28"/>
        </w:rPr>
        <w:t>5</w:t>
      </w:r>
      <w:r>
        <w:rPr>
          <w:rFonts w:ascii="Times New Roman" w:hAnsi="Times New Roman"/>
          <w:color w:themeColor="text1" w:val="000000"/>
          <w:sz w:val="28"/>
        </w:rPr>
        <w:t xml:space="preserve"> писем было направлено в Министерство по почте.</w:t>
      </w:r>
    </w:p>
    <w:p w14:paraId="05000000">
      <w:pPr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Большинство обращений поступили от граждан, проживающих на территории Камчатского края. Из Петропавловск-Камчатского городского округа поступило </w:t>
      </w:r>
      <w:r>
        <w:rPr>
          <w:rFonts w:ascii="Times New Roman" w:hAnsi="Times New Roman"/>
          <w:b w:val="1"/>
          <w:color w:themeColor="text1" w:val="000000"/>
          <w:sz w:val="28"/>
        </w:rPr>
        <w:t>41</w:t>
      </w:r>
      <w:r>
        <w:rPr>
          <w:rFonts w:ascii="Times New Roman" w:hAnsi="Times New Roman"/>
          <w:color w:themeColor="text1" w:val="000000"/>
          <w:sz w:val="28"/>
        </w:rPr>
        <w:t xml:space="preserve"> обращение, из Елизовского муниципального района – </w:t>
      </w:r>
      <w:r>
        <w:rPr>
          <w:rFonts w:ascii="Times New Roman" w:hAnsi="Times New Roman"/>
          <w:b w:val="1"/>
          <w:color w:themeColor="text1" w:val="000000"/>
          <w:sz w:val="28"/>
        </w:rPr>
        <w:t>1</w:t>
      </w:r>
      <w:r>
        <w:rPr>
          <w:rFonts w:ascii="Times New Roman" w:hAnsi="Times New Roman"/>
          <w:b w:val="1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 xml:space="preserve">, </w:t>
      </w:r>
      <w:r>
        <w:rPr>
          <w:rFonts w:ascii="Times New Roman" w:hAnsi="Times New Roman"/>
          <w:color w:themeColor="text1" w:val="000000"/>
          <w:sz w:val="28"/>
        </w:rPr>
        <w:t xml:space="preserve">из Вилючинского городского округа – </w:t>
      </w:r>
      <w:r>
        <w:rPr>
          <w:rFonts w:ascii="Times New Roman" w:hAnsi="Times New Roman"/>
          <w:b w:val="1"/>
          <w:color w:themeColor="text1" w:val="000000"/>
          <w:sz w:val="28"/>
        </w:rPr>
        <w:t>4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из Мильковского муниципального округа</w:t>
      </w:r>
      <w:r>
        <w:rPr>
          <w:rFonts w:ascii="Times New Roman" w:hAnsi="Times New Roman"/>
          <w:color w:themeColor="text1" w:val="000000"/>
          <w:sz w:val="28"/>
        </w:rPr>
        <w:t xml:space="preserve"> – </w:t>
      </w:r>
      <w:r>
        <w:rPr>
          <w:rFonts w:ascii="Times New Roman" w:hAnsi="Times New Roman"/>
          <w:b w:val="1"/>
          <w:color w:themeColor="text1" w:val="000000"/>
          <w:sz w:val="28"/>
        </w:rPr>
        <w:t>2.</w:t>
      </w:r>
      <w:r>
        <w:rPr>
          <w:rFonts w:ascii="Times New Roman" w:hAnsi="Times New Roman"/>
          <w:color w:themeColor="text1" w:val="000000"/>
          <w:sz w:val="28"/>
        </w:rPr>
        <w:t xml:space="preserve"> Также поступали обращения поступило из других субъектов Российской Федерации – Московской области –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2. </w:t>
      </w:r>
      <w:r>
        <w:rPr>
          <w:rFonts w:ascii="Times New Roman" w:hAnsi="Times New Roman"/>
          <w:b w:val="0"/>
          <w:color w:themeColor="text1" w:val="000000"/>
          <w:sz w:val="28"/>
        </w:rPr>
        <w:t>По одному обра</w:t>
      </w:r>
      <w:r>
        <w:rPr>
          <w:rFonts w:ascii="Times New Roman" w:hAnsi="Times New Roman"/>
          <w:b w:val="0"/>
          <w:color w:themeColor="text1" w:val="000000"/>
          <w:sz w:val="28"/>
        </w:rPr>
        <w:t>щению з</w:t>
      </w:r>
      <w:r>
        <w:rPr>
          <w:rFonts w:ascii="Times New Roman" w:hAnsi="Times New Roman"/>
          <w:color w:themeColor="text1" w:val="000000"/>
          <w:sz w:val="28"/>
        </w:rPr>
        <w:t xml:space="preserve">арегистрировано из Ростовской области, а также </w:t>
      </w: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-19367</wp:posOffset>
            </wp:positionH>
            <wp:positionV relativeFrom="page">
              <wp:posOffset>6210299</wp:posOffset>
            </wp:positionV>
            <wp:extent cx="2741104" cy="2321393"/>
            <wp:wrapTopAndBottom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2741104" cy="2321393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themeColor="text1" w:val="000000"/>
          <w:sz w:val="28"/>
        </w:rPr>
        <w:t>Краснодарского и Приморского края.</w:t>
      </w: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3466782</wp:posOffset>
            </wp:positionH>
            <wp:positionV relativeFrom="page">
              <wp:posOffset>6400799</wp:posOffset>
            </wp:positionV>
            <wp:extent cx="1911170" cy="1899236"/>
            <wp:wrapSquare distL="114300" distR="114300" wrapText="bothSides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1911170" cy="1899236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/>
        <w:ind w:firstLine="709" w:left="0" w:righ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Обращение в электронном виде можно подать непосредственно через интернет-при</w:t>
      </w:r>
      <w:r>
        <w:rPr>
          <w:rFonts w:ascii="Times New Roman" w:hAnsi="Times New Roman"/>
          <w:sz w:val="28"/>
        </w:rPr>
        <w:t xml:space="preserve">емную, расположенную на странице Министерства на сайте органов исполнительной власти www.kamgov.ru, заполнив все соответствующие графы, а также, направив обращение на электронный адрес Министерства - 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"mailto:Mingosim@kamgov.ru"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Mingosim@kamgov.ru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07000000">
      <w:pPr>
        <w:spacing w:after="0"/>
        <w:ind w:firstLine="709" w:left="0" w:righ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Министерстве Камчатского края установлены графики личного приема граждан. Личный прием проводит Министр Камчатского края.</w:t>
      </w:r>
    </w:p>
    <w:p w14:paraId="08000000">
      <w:pPr>
        <w:spacing w:after="0"/>
        <w:ind w:firstLine="709" w:left="0" w:righ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порядке и времени личного приема руководителем размещена на странице Министерства на официальном сайте органов исп</w:t>
      </w:r>
      <w:r>
        <w:rPr>
          <w:rFonts w:ascii="Times New Roman" w:hAnsi="Times New Roman"/>
          <w:sz w:val="28"/>
        </w:rPr>
        <w:t xml:space="preserve">олнительной власти </w:t>
      </w:r>
      <w:r>
        <w:rPr>
          <w:rStyle w:val="Style_1_ch"/>
          <w:rFonts w:ascii="Times New Roman" w:hAnsi="Times New Roman"/>
          <w:sz w:val="28"/>
        </w:rPr>
        <w:t xml:space="preserve">www.kamgov.ru, </w:t>
      </w:r>
      <w:r>
        <w:rPr>
          <w:rFonts w:ascii="Times New Roman" w:hAnsi="Times New Roman"/>
          <w:sz w:val="28"/>
        </w:rPr>
        <w:t>а так</w:t>
      </w:r>
      <w:bookmarkStart w:id="1" w:name="_GoBack"/>
      <w:bookmarkEnd w:id="1"/>
      <w:r>
        <w:rPr>
          <w:rFonts w:ascii="Times New Roman" w:hAnsi="Times New Roman"/>
          <w:sz w:val="28"/>
        </w:rPr>
        <w:t>же на информационном стенде в здании Министерства.</w:t>
      </w:r>
    </w:p>
    <w:p w14:paraId="09000000">
      <w:pPr>
        <w:spacing w:after="0"/>
        <w:ind w:firstLine="709" w:left="0" w:right="142"/>
        <w:jc w:val="both"/>
        <w:rPr>
          <w:rFonts w:ascii="Times New Roman" w:hAnsi="Times New Roman"/>
          <w:sz w:val="28"/>
        </w:rPr>
      </w:pPr>
    </w:p>
    <w:p w14:paraId="0A000000">
      <w:pPr>
        <w:ind w:firstLine="709" w:left="0" w:right="140"/>
        <w:jc w:val="center"/>
        <w:rPr>
          <w:rFonts w:ascii="Times New Roman" w:hAnsi="Times New Roman"/>
          <w:b w:val="1"/>
          <w:sz w:val="28"/>
        </w:rPr>
      </w:pPr>
      <w:bookmarkStart w:id="2" w:name="_MON_1457788148"/>
      <w:bookmarkEnd w:id="2"/>
      <w:bookmarkStart w:id="3" w:name="_MON_1457787626"/>
      <w:bookmarkEnd w:id="3"/>
      <w:r>
        <w:rPr>
          <w:rFonts w:ascii="Times New Roman" w:hAnsi="Times New Roman"/>
          <w:b w:val="1"/>
          <w:sz w:val="28"/>
        </w:rPr>
        <w:t>Тематический анализ обращений граждан</w:t>
      </w:r>
    </w:p>
    <w:p w14:paraId="0B000000">
      <w:pPr>
        <w:spacing w:after="0"/>
        <w:ind w:firstLine="709" w:left="0" w:right="1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поступивших обращений позволяет выявить наиболее значимые и волнующие вопросы жителей, как Камчатского края, так и граж</w:t>
      </w:r>
      <w:r>
        <w:rPr>
          <w:rFonts w:ascii="Times New Roman" w:hAnsi="Times New Roman"/>
          <w:sz w:val="28"/>
        </w:rPr>
        <w:t xml:space="preserve">дан, желающих переехать в Камчатский край с целью трудоустройства. </w:t>
      </w:r>
    </w:p>
    <w:p w14:paraId="0C000000">
      <w:pPr>
        <w:spacing w:after="0"/>
        <w:ind w:firstLine="709" w:left="0" w:right="1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проведения анализа тематики поступающих от граждан вопросов, применялся Классификатор тем, содержащий наименования наиболее часто встречающихся вопросов, связанных с законодательством </w:t>
      </w:r>
      <w:r>
        <w:rPr>
          <w:rFonts w:ascii="Times New Roman" w:hAnsi="Times New Roman"/>
          <w:sz w:val="28"/>
        </w:rPr>
        <w:t>о занятости населения, Государственной программой по оказанию содействия добровольному переселению в Камчатский край соотечественников, проживающих за рубежом.</w:t>
      </w:r>
    </w:p>
    <w:p w14:paraId="0D000000">
      <w:pPr>
        <w:spacing w:after="0"/>
        <w:ind w:firstLine="709" w:left="0" w:right="1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поставленным гражданами вопросам количество обращений по укрупненным темам распределилось сле</w:t>
      </w:r>
      <w:r>
        <w:rPr>
          <w:rFonts w:ascii="Times New Roman" w:hAnsi="Times New Roman"/>
          <w:sz w:val="28"/>
        </w:rPr>
        <w:t>дующим образом:</w:t>
      </w:r>
    </w:p>
    <w:tbl>
      <w:tblPr>
        <w:tblStyle w:val="Style_2"/>
        <w:tblW w:type="auto" w:w="0"/>
        <w:tblInd w:type="dxa" w:w="8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7005"/>
        <w:gridCol w:w="2216"/>
      </w:tblGrid>
      <w:tr>
        <w:trPr>
          <w:trHeight w:hRule="atLeast" w:val="1036"/>
        </w:trPr>
        <w:tc>
          <w:tcPr>
            <w:tcW w:type="dxa" w:w="7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0E000000">
            <w:pPr>
              <w:spacing w:afterAutospacing="on" w:beforeAutospacing="on" w:line="360" w:lineRule="auto"/>
              <w:ind w:firstLine="709" w:left="0" w:right="140"/>
              <w:jc w:val="center"/>
              <w:rPr>
                <w:rFonts w:ascii="Times New Roman" w:hAnsi="Times New Roman"/>
                <w:b w:val="1"/>
                <w:sz w:val="10"/>
              </w:rPr>
            </w:pPr>
          </w:p>
          <w:p w14:paraId="0F000000">
            <w:pPr>
              <w:spacing w:afterAutospacing="on" w:beforeAutospacing="on" w:line="240" w:lineRule="auto"/>
              <w:ind w:firstLine="709" w:left="0" w:right="14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Темы обращения</w:t>
            </w:r>
          </w:p>
        </w:tc>
        <w:tc>
          <w:tcPr>
            <w:tcW w:type="dxa" w:w="2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0000000">
            <w:pPr>
              <w:spacing w:afterAutospacing="on" w:beforeAutospacing="on"/>
              <w:ind w:right="14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Количество поставленных вопросов, ед.</w:t>
            </w:r>
          </w:p>
        </w:tc>
      </w:tr>
      <w:tr>
        <w:trPr>
          <w:trHeight w:hRule="atLeast" w:val="603"/>
        </w:trPr>
        <w:tc>
          <w:tcPr>
            <w:tcW w:type="dxa" w:w="7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1000000">
            <w:pPr>
              <w:spacing w:afterAutospacing="on" w:beforeAutospacing="on"/>
              <w:ind w:right="14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Вопросы по теме Государство, общество, политика</w:t>
            </w:r>
          </w:p>
        </w:tc>
        <w:tc>
          <w:tcPr>
            <w:tcW w:type="dxa" w:w="2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2000000">
            <w:pPr>
              <w:spacing w:afterAutospacing="on" w:beforeAutospacing="on"/>
              <w:ind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>
        <w:trPr>
          <w:trHeight w:hRule="atLeast" w:val="603"/>
        </w:trPr>
        <w:tc>
          <w:tcPr>
            <w:tcW w:type="dxa" w:w="7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3000000">
            <w:pPr>
              <w:spacing w:afterAutospacing="on" w:beforeAutospacing="on"/>
              <w:ind w:right="14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Социальная сфера</w:t>
            </w:r>
          </w:p>
        </w:tc>
        <w:tc>
          <w:tcPr>
            <w:tcW w:type="dxa" w:w="2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>
        <w:trPr>
          <w:trHeight w:hRule="atLeast" w:val="603"/>
        </w:trPr>
        <w:tc>
          <w:tcPr>
            <w:tcW w:type="dxa" w:w="7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5000000">
            <w:pPr>
              <w:spacing w:afterAutospacing="on" w:beforeAutospacing="on"/>
              <w:ind w:right="14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Экономика</w:t>
            </w:r>
          </w:p>
        </w:tc>
        <w:tc>
          <w:tcPr>
            <w:tcW w:type="dxa" w:w="2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6000000">
            <w:pPr>
              <w:spacing w:afterAutospacing="on" w:beforeAutospacing="on"/>
              <w:ind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</w:tr>
      <w:tr>
        <w:trPr>
          <w:trHeight w:hRule="atLeast" w:val="700"/>
        </w:trPr>
        <w:tc>
          <w:tcPr>
            <w:tcW w:type="dxa" w:w="7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7000000">
            <w:pPr>
              <w:spacing w:afterAutospacing="on" w:beforeAutospacing="on"/>
              <w:ind w:right="14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Жилищно- коммунальная сфера</w:t>
            </w:r>
          </w:p>
        </w:tc>
        <w:tc>
          <w:tcPr>
            <w:tcW w:type="dxa" w:w="2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8000000">
            <w:pPr>
              <w:spacing w:afterAutospacing="on" w:beforeAutospacing="on"/>
              <w:ind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rPr>
          <w:trHeight w:hRule="atLeast" w:val="700"/>
        </w:trPr>
        <w:tc>
          <w:tcPr>
            <w:tcW w:type="dxa" w:w="7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9000000">
            <w:pPr>
              <w:spacing w:afterAutospacing="on" w:beforeAutospacing="on"/>
              <w:ind w:right="14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Оборона, безопасность, законность</w:t>
            </w:r>
          </w:p>
        </w:tc>
        <w:tc>
          <w:tcPr>
            <w:tcW w:type="dxa" w:w="2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A000000">
            <w:pPr>
              <w:spacing w:afterAutospacing="on" w:beforeAutospacing="on"/>
              <w:ind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</w:tbl>
    <w:p w14:paraId="1B000000">
      <w:pPr>
        <w:spacing w:after="0"/>
        <w:ind w:firstLine="709" w:left="0" w:right="140"/>
        <w:jc w:val="both"/>
        <w:rPr>
          <w:rFonts w:ascii="Times New Roman" w:hAnsi="Times New Roman"/>
          <w:sz w:val="28"/>
        </w:rPr>
      </w:pPr>
    </w:p>
    <w:p w14:paraId="1C000000">
      <w:pPr>
        <w:spacing w:after="0"/>
        <w:ind w:firstLine="709" w:left="0" w:right="14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 поступившие обращения </w:t>
      </w:r>
      <w:r>
        <w:rPr>
          <w:rFonts w:ascii="Times New Roman" w:hAnsi="Times New Roman"/>
          <w:sz w:val="28"/>
        </w:rPr>
        <w:t>регистрировались и, как правило, в тот же день передавались на рассмотрение специалистам. В установленном законом порядке о принятых мерах всем заявителям были даны исчерпывающие ответы. По результатам рассмотрения обращений граждан просьбы в восстановлени</w:t>
      </w:r>
      <w:r>
        <w:rPr>
          <w:rFonts w:ascii="Times New Roman" w:hAnsi="Times New Roman"/>
          <w:sz w:val="28"/>
        </w:rPr>
        <w:t>и или защите их нарушенных прав, свобод или законных интересов удовлетворены в полном объеме.</w:t>
      </w:r>
    </w:p>
    <w:sectPr>
      <w:pgSz w:h="16838" w:orient="portrait" w:w="11906"/>
      <w:pgMar w:bottom="397" w:footer="709" w:gutter="0" w:header="709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Balloon Text"/>
    <w:basedOn w:val="Style_3"/>
    <w:link w:val="Style_5_ch"/>
    <w:pPr>
      <w:spacing w:after="0" w:line="240" w:lineRule="auto"/>
      <w:ind/>
    </w:pPr>
    <w:rPr>
      <w:rFonts w:ascii="Tahoma" w:hAnsi="Tahoma"/>
      <w:sz w:val="16"/>
    </w:rPr>
  </w:style>
  <w:style w:styleId="Style_5_ch" w:type="character">
    <w:name w:val="Balloon Text"/>
    <w:basedOn w:val="Style_3_ch"/>
    <w:link w:val="Style_5"/>
    <w:rPr>
      <w:rFonts w:ascii="Tahoma" w:hAnsi="Tahoma"/>
      <w:sz w:val="16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Гиперссылка1"/>
    <w:link w:val="Style_1_ch"/>
    <w:rPr>
      <w:color w:val="0000FF"/>
      <w:u w:val="single"/>
    </w:rPr>
  </w:style>
  <w:style w:styleId="Style_1_ch" w:type="character">
    <w:name w:val="Гиперссылка1"/>
    <w:link w:val="Style_1"/>
    <w:rPr>
      <w:color w:val="0000FF"/>
      <w:u w:val="single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List Paragraph"/>
    <w:basedOn w:val="Style_3"/>
    <w:link w:val="Style_11_ch"/>
    <w:pPr>
      <w:ind w:firstLine="0" w:left="720"/>
      <w:contextualSpacing w:val="1"/>
    </w:pPr>
  </w:style>
  <w:style w:styleId="Style_11_ch" w:type="character">
    <w:name w:val="List Paragraph"/>
    <w:basedOn w:val="Style_3_ch"/>
    <w:link w:val="Style_11"/>
  </w:style>
  <w:style w:styleId="Style_12" w:type="paragraph">
    <w:name w:val="header"/>
    <w:basedOn w:val="Style_3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sz w:val="20"/>
    </w:rPr>
  </w:style>
  <w:style w:styleId="Style_12_ch" w:type="character">
    <w:name w:val="header"/>
    <w:basedOn w:val="Style_3_ch"/>
    <w:link w:val="Style_12"/>
    <w:rPr>
      <w:sz w:val="20"/>
    </w:rPr>
  </w:style>
  <w:style w:styleId="Style_13" w:type="paragraph">
    <w:name w:val="Normal (Web)"/>
    <w:basedOn w:val="Style_3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Normal (Web)"/>
    <w:basedOn w:val="Style_3_ch"/>
    <w:link w:val="Style_13"/>
    <w:rPr>
      <w:rFonts w:ascii="Times New Roman" w:hAnsi="Times New Roman"/>
      <w:sz w:val="24"/>
    </w:rPr>
  </w:style>
  <w:style w:styleId="Style_14" w:type="paragraph">
    <w:name w:val="footer"/>
    <w:basedOn w:val="Style_3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sz w:val="20"/>
    </w:rPr>
  </w:style>
  <w:style w:styleId="Style_14_ch" w:type="character">
    <w:name w:val="footer"/>
    <w:basedOn w:val="Style_3_ch"/>
    <w:link w:val="Style_14"/>
    <w:rPr>
      <w:sz w:val="20"/>
    </w:rPr>
  </w:style>
  <w:style w:styleId="Style_15" w:type="paragraph">
    <w:name w:val="toc 3"/>
    <w:next w:val="Style_3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Выделение1"/>
    <w:basedOn w:val="Style_17"/>
    <w:link w:val="Style_16_ch"/>
    <w:rPr>
      <w:i w:val="1"/>
    </w:rPr>
  </w:style>
  <w:style w:styleId="Style_16_ch" w:type="character">
    <w:name w:val="Выделение1"/>
    <w:basedOn w:val="Style_17_ch"/>
    <w:link w:val="Style_16"/>
    <w:rPr>
      <w:i w:val="1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Обычный1"/>
    <w:link w:val="Style_19_ch"/>
    <w:rPr>
      <w:sz w:val="22"/>
    </w:rPr>
  </w:style>
  <w:style w:styleId="Style_19_ch" w:type="character">
    <w:name w:val="Обычный1"/>
    <w:link w:val="Style_19"/>
    <w:rPr>
      <w:sz w:val="22"/>
    </w:rPr>
  </w:style>
  <w:style w:styleId="Style_20" w:type="paragraph">
    <w:name w:val="heading 5"/>
    <w:next w:val="Style_3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basedOn w:val="Style_3"/>
    <w:link w:val="Style_21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21_ch" w:type="character">
    <w:name w:val="heading 1"/>
    <w:basedOn w:val="Style_3_ch"/>
    <w:link w:val="Style_21"/>
    <w:rPr>
      <w:rFonts w:ascii="Times New Roman" w:hAnsi="Times New Roman"/>
      <w:b w:val="1"/>
      <w:sz w:val="48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3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toc 9"/>
    <w:next w:val="Style_3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3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3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Body Text"/>
    <w:basedOn w:val="Style_3"/>
    <w:link w:val="Style_29_ch"/>
    <w:pPr>
      <w:widowControl w:val="0"/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29_ch" w:type="character">
    <w:name w:val="Body Text"/>
    <w:basedOn w:val="Style_3_ch"/>
    <w:link w:val="Style_29"/>
    <w:rPr>
      <w:rFonts w:ascii="Times New Roman" w:hAnsi="Times New Roman"/>
      <w:sz w:val="24"/>
    </w:rPr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basedOn w:val="Style_3"/>
    <w:next w:val="Style_3"/>
    <w:link w:val="Style_33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33_ch" w:type="character">
    <w:name w:val="heading 2"/>
    <w:basedOn w:val="Style_3_ch"/>
    <w:link w:val="Style_33"/>
    <w:rPr>
      <w:rFonts w:asciiTheme="majorAscii" w:hAnsiTheme="majorHAnsi"/>
      <w:b w:val="1"/>
      <w:color w:themeColor="accent1" w:val="4F81BD"/>
      <w:sz w:val="2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png" Type="http://schemas.openxmlformats.org/officeDocument/2006/relationships/image"/>
  <Relationship Id="rId2" Target="media/2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2024-12-24T21:48:16Z</dcterms:modified>
</cp:coreProperties>
</file>