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ИМУЩЕСТВЕННЫХ И ЗЕМЕЛЬНЫХ ОТНОШЕНИЙ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1325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Петропавловск-Камчатский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21.12.2004 № 172-ФЗ «О переводе земель или земельных участков из одной категории в другую», постановлением Правительства Камчатского края от 17.01.2014 № 27-П «Об установлении содержания ходатайства о переводе земель сельскохозяйственного назначения или земельных участков в составе таких земель, за исключением земель, находящихся в собственности Российской Федерации, в другую категорию и состава прилагаемых к нему документов»: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имущественных и земельных отношений Камчатского края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приказ Министерства имущественных и земельных отношений Камчатского края от 14.10.2024 № 85-Н «Об утверждении Административного регламента Министерства имущественных и земельных отношений Камчатского края по предоставлению государственной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5"/>
        <w:gridCol w:w="3262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292985" cy="8826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Мищенко Иван Вячеславович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ind w:hanging="0" w:left="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лицам, индивидуальным предпринимателям,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hanging="0" w:left="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имущественных и земельных отношений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переводом земель или земельных участков в составе таких земель из одной категории в другую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результате предоставления Услуги,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Органе власти, посредством почтового отправления, путем направления на адрес электронной почты заявителя, посредством Единого портала.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58 календарных дней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 об исправлении опечаток и (или) ошибок, допущенных в результате предоставления Услуги (</w:t>
      </w:r>
      <w:r>
        <w:rPr>
          <w:sz w:val="28"/>
          <w:szCs w:val="28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заявление), ходатайства о переводе земель или земельных участков в составе таких земель из одной категории в другую (</w:t>
      </w:r>
      <w:r>
        <w:rPr>
          <w:sz w:val="28"/>
          <w:szCs w:val="28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ходатайство)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  <w:t>ходатайства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  <w:t>ходатайства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ходатайства, 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  <w:t>ходатайства, заявления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ходатайства, 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ходатайства, 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18: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19: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20: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21: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22: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23: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24: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право не зарегистрировано в ЕГРН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25: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26: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27: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28: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29: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30: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58 календарных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Единого портала,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color w:val="auto"/>
          <w:sz w:val="28"/>
          <w:szCs w:val="28"/>
          <w:lang w:val="ru-RU"/>
        </w:rPr>
        <w:t xml:space="preserve">Орган власти отказывает заявителю в рассмотрении ходатайства при наличии оснований, предусмотренных настоящей частью </w:t>
      </w:r>
      <w:r>
        <w:rPr>
          <w:color w:val="auto"/>
          <w:sz w:val="28"/>
          <w:szCs w:val="28"/>
          <w:lang w:val="ru-RU" w:eastAsia="ru-RU"/>
        </w:rPr>
        <w:t>настоящего Административного регламента</w:t>
      </w:r>
      <w:r>
        <w:rPr>
          <w:color w:val="auto"/>
          <w:sz w:val="28"/>
          <w:szCs w:val="28"/>
          <w:lang w:val="ru-RU"/>
        </w:rPr>
        <w:t xml:space="preserve"> и в течение 30 календарных дней возвращает ходатайство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проведении и результатах государственной экологической экспертизы»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Росприроднадзор»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56 календарных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заявления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(бумажный документ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Органе власти, в устной форме по телефону, в письменной форме на основании письменного обращения (почтой, электронной почтой, факсимильной связью), размещение информации на Едином портале, на официальном сайте Органа власти в сети «Интернет», на Региональном портале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федеральной государственной информационной системы досудебного обжалования http://do.gosuslugi.ru, на официальном сайте Органа власти в сети «Интернет».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в Орган власти при личном обращении, почтовым отправлением.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Перевод земель или земельных участков в составе таких земель из одной категории в другую»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право не зарегистрировано в ЕГРН,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опечаток и (или) ошибок, допущенных в результате предоставления Услуги»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обратился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обращается через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обратился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обращается через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обратился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обращается через представителя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5"/>
        <w:gridCol w:w="5956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Обращается через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Право на земельный участок зарегистрировано в ЕГРН?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Право зарегистрировано в ЕГРН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Право не зарегистрировано в ЕГРН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Действующая категория земель или земельных участков в составе таких земель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Земли сельскохозяйственного назначения или земельные участки в составе таких земель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Земли иных категорий или земельные участки в составе таких земель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Имеются правообладатели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Отсутствуют правообладатели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результате предоставления Услуги»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Обращается через представителя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62"/>
      </w:tblGrid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другую»</w:t>
            </w:r>
          </w:p>
        </w:tc>
      </w:tr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Имеются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b/>
              </w:rPr>
              <w:t>Документ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ы</w:t>
            </w:r>
            <w:r>
              <w:rPr>
                <w:b/>
                <w:lang w:val="en-US"/>
              </w:rPr>
              <w:t xml:space="preserve">), </w:t>
            </w:r>
            <w:r>
              <w:rPr>
                <w:b/>
              </w:rPr>
              <w:t>представляемые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27" w:leader="none"/>
              </w:tabs>
              <w:spacing w:lineRule="exact" w:line="240"/>
              <w:ind w:firstLine="176"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документы для перевода земель или земельных участков в составе таких земель из одной категории в другую: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3" w:leader="none"/>
              </w:tabs>
              <w:spacing w:lineRule="exact" w:line="240"/>
              <w:ind w:firstLine="318"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согласие правообладателя земельного участка на перевод земельного участка в другую категорию.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Сведения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представляемые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b/>
                <w:lang w:val="en-US"/>
              </w:rPr>
              <w:t>: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сведения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не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предусмотрены</w:t>
            </w:r>
            <w:r>
              <w:rPr>
                <w:szCs w:val="20"/>
                <w:lang w:val="en-US"/>
              </w:rPr>
              <w:t>.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>Основание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я</w:t>
            </w:r>
            <w:r>
              <w:rPr>
                <w:b/>
                <w:lang w:val="en-US"/>
              </w:rPr>
              <w:t xml:space="preserve">) </w:t>
            </w:r>
            <w:r>
              <w:rPr>
                <w:b/>
              </w:rPr>
              <w:t>отказа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приеме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rPr/>
              <w:t>критерии не предусмотрены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Отсутствуют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-</w:t>
            </w:r>
          </w:p>
        </w:tc>
      </w:tr>
    </w:tbl>
    <w:p>
      <w:pPr>
        <w:pStyle w:val="Normal"/>
        <w:keepNext w:val="true"/>
        <w:spacing w:before="0"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3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7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8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9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10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15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17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18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19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20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25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27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28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29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30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Заявление об исправлении опечаток и (или) ошибок, допущенных в результате предоставления Услуги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 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suppressAutoHyphens w:val="true"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LibreOffice/7.6.4.1$Windows_X86_64 LibreOffice_project/e19e193f88cd6c0525a17fb7a176ed8e6a3e2aa1</Application>
  <AppVersion>15.0000</AppVersion>
  <Pages>66</Pages>
  <Words>48407</Words>
  <Characters>275923</Characters>
  <CharactersWithSpaces>323683</CharactersWithSpaces>
  <Paragraphs>647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2024-11-08T11:36:00Z</dcterms:created>
  <dc:creator>Кузнецов Виталий Геннадиевич</dc:creator>
  <dc:description/>
  <dc:language>ru-RU</dc:language>
  <cp:lastModifiedBy/>
  <dcterms:modified xsi:type="dcterms:W3CDTF">2024-11-27T13:17:31Z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