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2022 - 2023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hint="eastAsia" w:ascii="Times New Roman" w:hAnsi="Times New Roman"/>
          <w:sz w:val="28"/>
          <w:szCs w:val="28"/>
        </w:rPr>
        <w:t xml:space="preserve">Объекты недвижимого имущества с кадастровыми </w:t>
      </w:r>
      <w:r>
        <w:rPr>
          <w:rFonts w:ascii="Times New Roman" w:hAnsi="Times New Roman"/>
          <w:sz w:val="28"/>
          <w:szCs w:val="28"/>
        </w:rPr>
        <w:t xml:space="preserve">номерами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41:05:0101001:9207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41:05:0101001:9126</w:t>
      </w:r>
      <w:r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принадлежащие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Дадоновой Евгении Ивановне</w:t>
      </w:r>
      <w:r>
        <w:rPr>
          <w:rFonts w:ascii="Times New Roman" w:hAnsi="Times New Roman" w:cs="Times New Roman"/>
          <w:sz w:val="28"/>
          <w:szCs w:val="28"/>
        </w:rPr>
        <w:t xml:space="preserve"> на праве собственности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11.03.20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подлежат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2022 - 2023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30.05.2024 № 5, а также актами обследования вида фактического использования объектов недвижимого имущества </w:t>
      </w:r>
      <w:r>
        <w:rPr>
          <w:rFonts w:ascii="Times New Roman" w:hAnsi="Times New Roman"/>
          <w:sz w:val="28"/>
        </w:rPr>
        <w:t xml:space="preserve">от 08.04.2024 № 581</w:t>
      </w:r>
      <w:r>
        <w:rPr>
          <w:rFonts w:ascii="Times New Roman" w:hAnsi="Times New Roman"/>
          <w:sz w:val="28"/>
        </w:rPr>
        <w:t xml:space="preserve">, от 08.04.2024 № 582, указывающими на отсутствие у объектов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предоставленными администрацией Елизовского муниципального района Камчатского края.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05»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11» </w:t>
      </w:r>
      <w:r>
        <w:rPr>
          <w:rFonts w:ascii="Times New Roman" w:hAnsi="Times New Roman"/>
          <w:sz w:val="28"/>
        </w:rPr>
        <w:t xml:space="preserve">июля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modified xsi:type="dcterms:W3CDTF">2024-07-03T04:02:34Z</dcterms:modified>
</cp:coreProperties>
</file>