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48" y="0"/>
                <wp:lineTo x="-148" y="20769"/>
                <wp:lineTo x="20820" y="20769"/>
                <wp:lineTo x="20820" y="0"/>
                <wp:lineTo x="-148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740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/>
        <w:tc>
          <w:tcPr>
            <w:tcW w:w="96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О разграничении имущества, находящегося в муниципальной собственности, между муниципальным образованием </w:t>
              <w:br/>
              <w:t>«Карагинский муниципальный район» и муниципальным образованием сельское поселение «село Карага» Карагинского муниципального района</w:t>
            </w:r>
            <w:bookmarkStart w:id="1" w:name="_GoBack"/>
            <w:bookmarkEnd w:id="1"/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со статьей 2 Закона Камчатского края от 25.03.2008 № 28  «О Порядке разграничения муниципального имущества между муниципальными образованиями в Камчатском крае», учитывая согласования Главы Карагинского муниципального района и главы </w:t>
      </w:r>
      <w:r>
        <w:rPr>
          <w:rFonts w:ascii="Times New Roman" w:hAnsi="Times New Roman"/>
          <w:bCs/>
          <w:color w:val="auto"/>
          <w:sz w:val="28"/>
          <w:szCs w:val="28"/>
        </w:rPr>
        <w:t>сельского поселения «село Карага»</w:t>
      </w:r>
      <w:r>
        <w:rPr>
          <w:rFonts w:ascii="Times New Roman" w:hAnsi="Times New Roman"/>
          <w:color w:val="auto"/>
          <w:sz w:val="28"/>
          <w:szCs w:val="28"/>
        </w:rPr>
        <w:t xml:space="preserve"> перечня имущества, находящегося в собственности муниципального образования «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Карагинский </w:t>
      </w:r>
      <w:r>
        <w:rPr>
          <w:rFonts w:ascii="Times New Roman" w:hAnsi="Times New Roman"/>
          <w:color w:val="auto"/>
          <w:sz w:val="28"/>
          <w:szCs w:val="28"/>
        </w:rPr>
        <w:t xml:space="preserve">муниципальный район», передаваемого в собственность муниципального образования </w:t>
      </w:r>
      <w:r>
        <w:rPr>
          <w:rFonts w:ascii="Times New Roman" w:hAnsi="Times New Roman"/>
          <w:bCs/>
          <w:color w:val="auto"/>
          <w:sz w:val="28"/>
          <w:szCs w:val="28"/>
        </w:rPr>
        <w:t>сельское поселение «село Карага»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Карагинского муниципального района </w:t>
      </w:r>
      <w:r>
        <w:rPr>
          <w:rFonts w:ascii="Times New Roman" w:hAnsi="Times New Roman"/>
          <w:color w:val="auto"/>
          <w:sz w:val="28"/>
          <w:szCs w:val="28"/>
        </w:rPr>
        <w:t>в порядке разграничения муниципального имущества,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firstLine="709"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имущества, передаваемого муниципальным образованием </w:t>
      </w:r>
      <w:r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bCs/>
          <w:color w:val="auto"/>
          <w:sz w:val="28"/>
          <w:szCs w:val="28"/>
        </w:rPr>
        <w:t>Карагинский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в муниципальную собственность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color w:val="auto"/>
          <w:sz w:val="28"/>
          <w:szCs w:val="28"/>
        </w:rPr>
        <w:t>сельское поселение «село Карага»</w:t>
      </w:r>
      <w:r>
        <w:rPr>
          <w:rFonts w:ascii="Times New Roman" w:hAnsi="Times New Roman"/>
          <w:sz w:val="28"/>
          <w:szCs w:val="28"/>
        </w:rPr>
        <w:t xml:space="preserve"> Карагинского муниципального района в порядке разграничения муниципального имущества, согласно приложению к настоящему постановлению.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firstLine="709"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44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9"/>
        <w:gridCol w:w="3553"/>
        <w:gridCol w:w="2412"/>
      </w:tblGrid>
      <w:tr>
        <w:trPr>
          <w:trHeight w:val="1419" w:hRule="atLeast"/>
        </w:trPr>
        <w:tc>
          <w:tcPr>
            <w:tcW w:w="357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sectPr>
          <w:type w:val="nextPage"/>
          <w:pgSz w:w="11906" w:h="16838"/>
          <w:pgMar w:left="1418" w:right="851" w:gutter="0" w:header="0" w:top="567" w:footer="0" w:bottom="567"/>
          <w:pgNumType w:fmt="decimal"/>
          <w:formProt w:val="false"/>
          <w:textDirection w:val="lrTb"/>
          <w:docGrid w:type="default" w:linePitch="360" w:charSpace="4096"/>
        </w:sectPr>
      </w:pPr>
      <w:r>
        <w:br w:type="page"/>
      </w:r>
    </w:p>
    <w:tbl>
      <w:tblPr>
        <w:tblStyle w:val="740"/>
        <w:tblW w:w="963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"/>
        <w:gridCol w:w="478"/>
        <w:gridCol w:w="484"/>
        <w:gridCol w:w="3664"/>
        <w:gridCol w:w="480"/>
        <w:gridCol w:w="1880"/>
        <w:gridCol w:w="484"/>
        <w:gridCol w:w="1688"/>
      </w:tblGrid>
      <w:tr>
        <w:trPr/>
        <w:tc>
          <w:tcPr>
            <w:tcW w:w="477" w:type="dxa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2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Приложение к постановлению</w:t>
            </w:r>
          </w:p>
        </w:tc>
      </w:tr>
      <w:tr>
        <w:trPr/>
        <w:tc>
          <w:tcPr>
            <w:tcW w:w="4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2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80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themeColor="background1" w:val="FFFFFF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themeColor="background1" w:val="FFFFFF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688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themeColor="background1" w:val="FFFFFF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themeColor="background1" w:val="FFFFFF"/>
                <w:kern w:val="0"/>
                <w:sz w:val="16"/>
                <w:szCs w:val="20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hanging="0" w:left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</w:t>
      </w:r>
    </w:p>
    <w:p>
      <w:pPr>
        <w:pStyle w:val="Normal"/>
        <w:numPr>
          <w:ilvl w:val="0"/>
          <w:numId w:val="0"/>
        </w:numPr>
        <w:spacing w:before="0" w:after="0"/>
        <w:ind w:hanging="0" w:lef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имущества, передаваемого муниципальным образованием </w:t>
      </w:r>
      <w:r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bCs/>
          <w:color w:val="auto"/>
          <w:sz w:val="28"/>
          <w:szCs w:val="28"/>
        </w:rPr>
        <w:t>Карагинский</w:t>
      </w:r>
      <w:r>
        <w:rPr>
          <w:rFonts w:ascii="Times New Roman" w:hAnsi="Times New Roman"/>
          <w:color w:val="auto"/>
          <w:sz w:val="28"/>
          <w:szCs w:val="28"/>
        </w:rPr>
        <w:t xml:space="preserve"> муниципальный район» </w:t>
      </w:r>
      <w:r>
        <w:rPr>
          <w:rFonts w:ascii="Times New Roman" w:hAnsi="Times New Roman"/>
          <w:sz w:val="28"/>
          <w:szCs w:val="28"/>
        </w:rPr>
        <w:t xml:space="preserve">в муниципальную собственность муниципального образования </w:t>
      </w:r>
      <w:r>
        <w:rPr>
          <w:rFonts w:ascii="Times New Roman" w:hAnsi="Times New Roman"/>
          <w:bCs/>
          <w:color w:val="auto"/>
          <w:sz w:val="28"/>
          <w:szCs w:val="28"/>
        </w:rPr>
        <w:t>сельское поселение «село Карага»</w:t>
      </w:r>
      <w:r>
        <w:rPr>
          <w:rFonts w:ascii="Times New Roman" w:hAnsi="Times New Roman"/>
          <w:sz w:val="28"/>
          <w:szCs w:val="28"/>
        </w:rPr>
        <w:t xml:space="preserve"> Карагинского муниципального района в порядке разграничения муниципального имущества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64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"/>
        <w:gridCol w:w="2276"/>
        <w:gridCol w:w="2044"/>
        <w:gridCol w:w="2265"/>
        <w:gridCol w:w="2975"/>
        <w:gridCol w:w="2695"/>
        <w:gridCol w:w="1809"/>
      </w:tblGrid>
      <w:tr>
        <w:trPr>
          <w:trHeight w:val="51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на балансе которой находится предлагаемое к передаче имущество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 организации, на балансе которой находится предлагаемое к передаче имущество</w:t>
            </w: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50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06.10.2003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64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75"/>
        <w:gridCol w:w="2276"/>
        <w:gridCol w:w="2044"/>
        <w:gridCol w:w="2265"/>
        <w:gridCol w:w="2975"/>
        <w:gridCol w:w="2695"/>
        <w:gridCol w:w="1809"/>
      </w:tblGrid>
      <w:tr>
        <w:trPr>
          <w:tblHeader w:val="true"/>
          <w:trHeight w:val="182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Камчатский край,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Карагинский,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Карага,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Лукашевского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82:02:000010: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64" w:before="0" w:after="160"/>
        <w:jc w:val="left"/>
        <w:rPr/>
      </w:pPr>
      <w:r>
        <w:rPr/>
      </w:r>
    </w:p>
    <w:sectPr>
      <w:headerReference w:type="even" r:id="rId3"/>
      <w:headerReference w:type="default" r:id="rId4"/>
      <w:headerReference w:type="first" r:id="rId5"/>
      <w:type w:val="nextPage"/>
      <w:pgSz w:orient="landscape" w:w="16838" w:h="11906"/>
      <w:pgMar w:left="1417" w:right="850" w:gutter="0" w:header="1134" w:top="127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isLgl/>
      <w:numFmt w:val="decimal"/>
      <w:lvlText w:val="%1."/>
      <w:lvlJc w:val="left"/>
      <w:pPr>
        <w:tabs>
          <w:tab w:val="num" w:pos="0"/>
        </w:tabs>
        <w:ind w:left="928" w:hanging="360"/>
      </w:pPr>
      <w:rPr/>
    </w:lvl>
    <w:lvl w:ilvl="1">
      <w:start w:val="1"/>
      <w:isLgl/>
      <w:numFmt w:val="lowerLetter"/>
      <w:lvlText w:val="%2."/>
      <w:lvlJc w:val="left"/>
      <w:pPr>
        <w:tabs>
          <w:tab w:val="num" w:pos="0"/>
        </w:tabs>
        <w:ind w:left="1648" w:hanging="360"/>
      </w:pPr>
      <w:rPr/>
    </w:lvl>
    <w:lvl w:ilvl="2">
      <w:start w:val="1"/>
      <w:isLgl/>
      <w:numFmt w:val="lowerRoman"/>
      <w:lvlText w:val="%3."/>
      <w:lvlJc w:val="right"/>
      <w:pPr>
        <w:tabs>
          <w:tab w:val="num" w:pos="0"/>
        </w:tabs>
        <w:ind w:left="2368" w:hanging="180"/>
      </w:pPr>
      <w:rPr/>
    </w:lvl>
    <w:lvl w:ilvl="3">
      <w:start w:val="1"/>
      <w:isLgl/>
      <w:numFmt w:val="decimal"/>
      <w:lvlText w:val="%4."/>
      <w:lvlJc w:val="left"/>
      <w:pPr>
        <w:tabs>
          <w:tab w:val="num" w:pos="0"/>
        </w:tabs>
        <w:ind w:left="3088" w:hanging="360"/>
      </w:pPr>
      <w:rPr/>
    </w:lvl>
    <w:lvl w:ilvl="4">
      <w:start w:val="1"/>
      <w:isLgl/>
      <w:numFmt w:val="lowerLetter"/>
      <w:lvlText w:val="%5."/>
      <w:lvlJc w:val="left"/>
      <w:pPr>
        <w:tabs>
          <w:tab w:val="num" w:pos="0"/>
        </w:tabs>
        <w:ind w:left="3808" w:hanging="360"/>
      </w:pPr>
      <w:rPr/>
    </w:lvl>
    <w:lvl w:ilvl="5">
      <w:start w:val="1"/>
      <w:isLgl/>
      <w:numFmt w:val="lowerRoman"/>
      <w:lvlText w:val="%6."/>
      <w:lvlJc w:val="right"/>
      <w:pPr>
        <w:tabs>
          <w:tab w:val="num" w:pos="0"/>
        </w:tabs>
        <w:ind w:left="4528" w:hanging="180"/>
      </w:pPr>
      <w:rPr/>
    </w:lvl>
    <w:lvl w:ilvl="6">
      <w:start w:val="1"/>
      <w:isLgl/>
      <w:numFmt w:val="decimal"/>
      <w:lvlText w:val="%7."/>
      <w:lvlJc w:val="left"/>
      <w:pPr>
        <w:tabs>
          <w:tab w:val="num" w:pos="0"/>
        </w:tabs>
        <w:ind w:left="5248" w:hanging="360"/>
      </w:pPr>
      <w:rPr/>
    </w:lvl>
    <w:lvl w:ilvl="7">
      <w:start w:val="1"/>
      <w:isLgl/>
      <w:numFmt w:val="lowerLetter"/>
      <w:lvlText w:val="%8."/>
      <w:lvlJc w:val="left"/>
      <w:pPr>
        <w:tabs>
          <w:tab w:val="num" w:pos="0"/>
        </w:tabs>
        <w:ind w:left="5968" w:hanging="360"/>
      </w:pPr>
      <w:rPr/>
    </w:lvl>
    <w:lvl w:ilvl="8">
      <w:start w:val="1"/>
      <w:isLgl/>
      <w:numFmt w:val="lowerRoman"/>
      <w:lvlText w:val="%9."/>
      <w:lvlJc w:val="right"/>
      <w:pPr>
        <w:tabs>
          <w:tab w:val="num" w:pos="0"/>
        </w:tabs>
        <w:ind w:left="668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/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Style7" w:customStyle="1">
    <w:name w:val="Верхний колонтитул Знак"/>
    <w:basedOn w:val="1"/>
    <w:uiPriority w:val="99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Style8" w:customStyle="1">
    <w:name w:val="Текст Знак"/>
    <w:basedOn w:val="1"/>
    <w:qFormat/>
    <w:rPr>
      <w:rFonts w:ascii="Calibri" w:hAnsi="Calibri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rPr>
      <w:color w:themeColor="hyperlink" w:val="0563C1"/>
      <w:u w:val="single"/>
    </w:rPr>
  </w:style>
  <w:style w:type="character" w:styleId="Footnote" w:customStyle="1">
    <w:name w:val="Footnote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9" w:customStyle="1">
    <w:name w:val="Подзаголовок Знак"/>
    <w:qFormat/>
    <w:rPr>
      <w:rFonts w:ascii="XO Thames" w:hAnsi="XO Thames"/>
      <w:i/>
      <w:sz w:val="24"/>
    </w:rPr>
  </w:style>
  <w:style w:type="character" w:styleId="Style10" w:customStyle="1">
    <w:name w:val="Нижний колонтитул Знак"/>
    <w:basedOn w:val="1"/>
    <w:qFormat/>
    <w:rPr>
      <w:rFonts w:ascii="Times New Roman" w:hAnsi="Times New Roman"/>
      <w:sz w:val="28"/>
    </w:rPr>
  </w:style>
  <w:style w:type="character" w:styleId="Style11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2" w:customStyle="1">
    <w:name w:val="Текст выноски Знак"/>
    <w:basedOn w:val="1"/>
    <w:qFormat/>
    <w:rPr>
      <w:rFonts w:ascii="Segoe UI" w:hAnsi="Segoe UI"/>
      <w:sz w:val="18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paragraph" w:styleId="Style13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IndexHeading">
    <w:name w:val="Index Heading"/>
    <w:basedOn w:val="Style13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Indexheading1">
    <w:name w:val="index heading1"/>
    <w:basedOn w:val="Normal"/>
    <w:qFormat/>
    <w:pPr>
      <w:suppressLineNumbers/>
    </w:pPr>
    <w:rPr>
      <w:rFonts w:cs="Arial Unicode MS"/>
    </w:rPr>
  </w:style>
  <w:style w:type="paragraph" w:styleId="13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OC2">
    <w:name w:val="TOC 2"/>
    <w:uiPriority w:val="39"/>
    <w:pPr>
      <w:widowControl/>
      <w:suppressAutoHyphens w:val="true"/>
      <w:bidi w:val="0"/>
      <w:spacing w:lineRule="auto" w:line="264" w:before="0" w:after="160"/>
      <w:ind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4">
    <w:name w:val="TOC 4"/>
    <w:uiPriority w:val="39"/>
    <w:pPr>
      <w:widowControl/>
      <w:suppressAutoHyphens w:val="true"/>
      <w:bidi w:val="0"/>
      <w:spacing w:lineRule="auto" w:line="264" w:before="0" w:after="160"/>
      <w:ind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5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er">
    <w:name w:val="Head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6">
    <w:name w:val="TOC 6"/>
    <w:uiPriority w:val="39"/>
    <w:pPr>
      <w:widowControl/>
      <w:suppressAutoHyphens w:val="true"/>
      <w:bidi w:val="0"/>
      <w:spacing w:lineRule="auto" w:line="264" w:before="0" w:after="160"/>
      <w:ind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uiPriority w:val="39"/>
    <w:pPr>
      <w:widowControl/>
      <w:suppressAutoHyphens w:val="true"/>
      <w:bidi w:val="0"/>
      <w:spacing w:lineRule="auto" w:line="264" w:before="0" w:after="160"/>
      <w:ind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alibri" w:hAnsi="Calibri"/>
    </w:rPr>
  </w:style>
  <w:style w:type="paragraph" w:styleId="TOC3">
    <w:name w:val="TOC 3"/>
    <w:uiPriority w:val="39"/>
    <w:pPr>
      <w:widowControl/>
      <w:suppressAutoHyphens w:val="true"/>
      <w:bidi w:val="0"/>
      <w:spacing w:lineRule="auto" w:line="264" w:before="0" w:after="160"/>
      <w:ind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themeColor="hyperlink" w:val="0563C1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1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5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9">
    <w:name w:val="TOC 9"/>
    <w:uiPriority w:val="39"/>
    <w:pPr>
      <w:widowControl/>
      <w:suppressAutoHyphens w:val="true"/>
      <w:bidi w:val="0"/>
      <w:spacing w:lineRule="auto" w:line="264" w:before="0" w:after="160"/>
      <w:ind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uiPriority w:val="39"/>
    <w:pPr>
      <w:widowControl/>
      <w:suppressAutoHyphens w:val="true"/>
      <w:bidi w:val="0"/>
      <w:spacing w:lineRule="auto" w:line="264" w:before="0" w:after="160"/>
      <w:ind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5">
    <w:name w:val="TOC 5"/>
    <w:uiPriority w:val="39"/>
    <w:pPr>
      <w:widowControl/>
      <w:suppressAutoHyphens w:val="true"/>
      <w:bidi w:val="0"/>
      <w:spacing w:lineRule="auto" w:line="264" w:before="0" w:after="160"/>
      <w:ind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ubtitle">
    <w:name w:val="Subtitle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Title">
    <w:name w:val="Title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E88-8983-4408-B505-5A494ABB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LibreOffice/24.2.0.3$Windows_X86_64 LibreOffice_project/da48488a73ddd66ea24cf16bbc4f7b9c08e9bea1</Application>
  <AppVersion>15.0000</AppVersion>
  <Pages>2</Pages>
  <Words>279</Words>
  <Characters>2113</Characters>
  <CharactersWithSpaces>2337</CharactersWithSpaces>
  <Paragraphs>56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2024-02-05T02:00:00Z</dcterms:created>
  <dc:creator>Борзило Татьяна Николаевна</dc:creator>
  <dc:description/>
  <dc:language>ru-RU</dc:language>
  <cp:lastModifiedBy/>
  <dcterms:modified xsi:type="dcterms:W3CDTF">2024-03-13T15:05:42Z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