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«Об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contextualSpacing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Законом Камчатского края от 26.11.2021 № 6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 некоторых вопросах налогового регулирования в Камчатском крае»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(далее – Закон) установлена налоговая ставка в размере 2 процентов по налогу на имущество организаций в отношении объектов недвижимого имущества, указанных в подпунктах 1 и 2 пункта 2 статьи 8 настоящего Закона, налоговая база по которым определяется как кадастровая стоимость в соответствии с пунктом 2 статьи 375 </w:t>
      </w:r>
      <w:r>
        <w:rPr>
          <w:rFonts w:ascii="Times New Roman" w:hAnsi="Times New Roman"/>
          <w:sz w:val="28"/>
        </w:rPr>
        <w:t xml:space="preserve">Налогового кодекса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Объекты включены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в перечень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основании критериев, определенных </w:t>
      </w:r>
      <w:r>
        <w:rPr>
          <w:rFonts w:ascii="Times New Roman" w:hAnsi="Times New Roman"/>
          <w:sz w:val="28"/>
        </w:rPr>
        <w:t xml:space="preserve">статьей 378.2 Налогового кодекса Российской Федерации, а также в соответствии с Порядком определения вида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утвержденным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постановлением Правительства Камчатского края от 22.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05.2017 № 212-П.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06» декабря 2023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12» декабр</w:t>
      </w:r>
      <w:r>
        <w:rPr>
          <w:rFonts w:ascii="Times New Roman" w:hAnsi="Times New Roman"/>
          <w:sz w:val="28"/>
        </w:rPr>
        <w:t xml:space="preserve">я 2023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«Об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</w:rPr>
        <w:t xml:space="preserve"> не потребует расходов краевого бюджета.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modified xsi:type="dcterms:W3CDTF">2023-12-06T02:06:50Z</dcterms:modified>
</cp:coreProperties>
</file>