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60" y="0"/>
                <wp:lineTo x="-160" y="20759"/>
                <wp:lineTo x="20808" y="20759"/>
                <wp:lineTo x="20808" y="0"/>
                <wp:lineTo x="-160" y="0"/>
              </wp:wrapPolygon>
            </wp:wrapTight>
            <wp:docPr id="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4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изменения в приложение к постановлению Правительства Камчатского края от 11.11.2013 № 489-П «О государственной программе Камчатского края «Совершенствование управления имуществом, находящимся в государственной собственности Камчатского края»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приложение к постановлению Правительства Камчатского края от 11.11.2013 № 489-П «О государственной программе Камчатского края «Совершенствование управления имуществом, находящимся в государственной собственности Камчатского края» изменение, изложив в редакции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с 1 января 2024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77"/>
        <w:gridCol w:w="482"/>
        <w:gridCol w:w="3674"/>
        <w:gridCol w:w="686"/>
        <w:gridCol w:w="1666"/>
        <w:gridCol w:w="489"/>
        <w:gridCol w:w="1684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tbl>
      <w:tblPr>
        <w:tblStyle w:val="Style_2"/>
        <w:tblW w:w="4470" w:type="dxa"/>
        <w:jc w:val="left"/>
        <w:tblInd w:w="5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0"/>
      </w:tblGrid>
      <w:tr>
        <w:trPr/>
        <w:tc>
          <w:tcPr>
            <w:tcW w:w="4470" w:type="dxa"/>
            <w:tcBorders/>
          </w:tcPr>
          <w:p>
            <w:pPr>
              <w:pStyle w:val="ConsPlusTitle1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 w:val="false"/>
                <w:b w:val="false"/>
                <w:sz w:val="28"/>
              </w:rPr>
            </w:pPr>
            <w:r>
              <w:rPr>
                <w:rFonts w:eastAsia="Tahoma" w:cs="Lohit Devanagari" w:ascii="Times New Roman" w:hAnsi="Times New Roman"/>
                <w:b w:val="false"/>
                <w:color w:val="000000"/>
                <w:kern w:val="0"/>
                <w:sz w:val="28"/>
                <w:szCs w:val="20"/>
                <w:lang w:val="ru-RU" w:eastAsia="zh-CN" w:bidi="hi-IN"/>
              </w:rPr>
              <w:t>«Приложение к постановлению Правительства Камчатского края от 11.11.2013 № 489-П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программа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 «Совершенствование управления имуществом, находящимся в государственной собственности Камчатского края» (далее — Программа)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в сфере реализации государственной Программы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Оценка текущего состояния соответствующей сферы социально-экономического развития Камчатского края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1. Управление имуществом, находящимся в государственной собственности Камчатского края (далее — краевое имущество), является одним из направлений деятельности Правительства Камчатского края, обеспечивающей создание условий для реализации государственных полномочий.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Краевое имущество является активом, обеспечивающим выполнение полномочий и функций органов государственной власти Камчатского края по решению задач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Стратегии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социально-экономического развития Камчатского края до 2030 года. 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/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Сфера управления краевым имуществом охватывает широкий круг вопросов: создания, </w:t>
      </w: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реорганизация и ликвидация краевых государственных унитарных предприятий и краевых государственных учреждений, передача имущес</w:t>
      </w: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тва во владение и пользование, безвозмездные прием и передача имущества на другие уровни собственности, приватизация и отчуждение по иным основаниям и т.д.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В сфере управления краевой государственной собственностью создана и постоянно совершенствуется нормативно-правовая база. Организован учет краевого имущества на основе применения программно-технических средств, проводится работа по оформлению государственной регистрации прав собственности Камчатского края на объекты недвижимости. Продолжается процесс оптимизации состава и структуры краевого имущества, в том числе путем реорганизации, ликвидации краевых государственных предприятий и учреждений, приватизации краевых государственных унитарных предприятий.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2. По состоянию на 1 января 2023 года в реестре имущества, находящегося в государственной собственности Камчатского края (далее по тексту — Реестр), учтено 232 юридических лиц, из них: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государственных унитарных предприятий — 10 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государственных казенных предприятий — 3;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некоммерческих организаций — 1;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государственных автономных учреждений — 46;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государственных бюджетных учреждений — 102;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государственных казенных учреждений — 37;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исполнительных органов — 30, государственных органов — 2;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казна Камчатского края — 1.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В Реестре учитывается 3015 объектов недвижимости. Общая балансовая стоимость недвижимого имущества и движимого имущества, балансовая стоимость которого превышает 200 тыс. рублей, закрепленного за государственными унитарными предприятиями на праве хозяйственного ведения и государственными учреждениями, казенными предприятиями на праве оперативного управления, а также учитываемого в казне составляет —   77 587 007,35 тыс. рублей, в том числе: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общая балансовая стоимость недвижимого имущества — 60 367 034,71 тыс. рублей;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- общая балансовая стоимость движимого имущества, балансовая стоимость которого превышает 200 тыс. рублей  — 17 219 972,64 тыс. рублей.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В Реестре хозяйственных обществ, акции (доли в уставном капитале) которых находятся в собственности Камчатского края, находятся 16 акционерных обществ и 2 общества с ограниченной ответственностью.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eastAsia="Tahoma" w:cs="Lohit Devanagari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В собственности Камчатского края находится 666 земельных участка, в том числе 476 земельных участков предоставлено на праве постоянного (бессрочного) пользования, общей площадью 6664,2184 га</w:t>
      </w: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8"/>
          <w:lang w:val="ru-RU" w:eastAsia="zh-CN" w:bidi="hi-IN"/>
        </w:rPr>
        <w:t>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shd w:fill="auto" w:val="clear"/>
          <w:lang w:val="ru-RU" w:eastAsia="zh-CN" w:bidi="hi-IN"/>
        </w:rPr>
        <w:t>Количество земельных участков, находящихся в собственности Камчатского края, имеющих ограничения (обременение) составляет 137  земельных участков.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</w:rPr>
        <w:t xml:space="preserve">Государственная регистрация права собственности Камчатского края на объекты недвижимости к общему количеству объектов, учитываемых в Реестре, </w:t>
      </w:r>
      <w:r>
        <w:rPr>
          <w:rFonts w:ascii="Times New Roman" w:hAnsi="Times New Roman"/>
          <w:sz w:val="28"/>
          <w:shd w:fill="auto" w:val="clear"/>
        </w:rPr>
        <w:t>составляет 87 процентов.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Едином государственном реестре недвижимости уже содержатся сведения о границах всех 64 муниципальных образований Камчатского края (100 процентов).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Продолжается работа по формированию Перечня объектов недвижимого имущества, в отношении которых налоговая база определяется как кадастровая стоимость (далее — Перечень). Количество объектов в Перечне на 2023 год – 5000 единиц, на 2024 год в предварительный проект Перечня включено 5290 единиц.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положений Федерального закона от 3 июля 2016      № 237-ФЗ «О государственной кадастровой оценке» создано краевое государственное бюджетное учреждение «Камчатская государственная оценка».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государственной кадастровой оценки объектов недвижимости на территории Камчатского края позволит иметь юридически значимую и экономически обоснованную базу для исчисления имущественных налогов, а также для начисления арендной платы за использование земельных участков.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управления краевой государственной собственностью постоянно совершенствуется, вместе с тем требуется продолжить работу по преодолению следующих системных проблем: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sz w:val="28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- наличие в краевой государственной собственности имущества, не соответствующего полномочиям Правительства Камчатского края;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sz w:val="28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- отсутствие государственной регистрации прав на ряд объектов краевой  государственной собственности;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sz w:val="28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- необходимость постоянного совершенствования механизмов управления краевой государственной собственностью;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sz w:val="28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- дефицит объектов краевой недвижимости для размещения органов государственной власти Камчатского края, некоммерческих организаций;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sz w:val="28"/>
          <w:shd w:fill="auto" w:val="clear"/>
        </w:rPr>
      </w:pPr>
      <w:r>
        <w:rPr>
          <w:rFonts w:ascii="Times New Roman" w:hAnsi="Times New Roman"/>
          <w:sz w:val="28"/>
          <w:shd w:fill="auto" w:val="clear"/>
        </w:rPr>
        <w:t>- неудовлетворительное состояние зданий и сооружений, находящихся в краевой собственности.</w:t>
      </w:r>
    </w:p>
    <w:p>
      <w:pPr>
        <w:pStyle w:val="Normal"/>
        <w:widowControl w:val="false"/>
        <w:suppressLineNumbers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ключевая проблема, на решение которой будет направлена Программа, заключается в создании условий для эффективного управления краевым имуществом, необходимым для выполнения полномочий органов государственной власти Камчатского края, и отчуждения краевого имущества, востребованного в коммерческом обороте.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государственной политики в сфере реализации Программы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Приоритетами государственной политики Камчатского края в сфере управления краевым имуществом являются: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законность и открытость деятельности органов государственной власти Камчатского края;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подотчетность и подконтрольность, эффективность, целевое использование краевого имущества, закрепленного за органами государственной власти Камчатского края, государственными унитарными предприятиями Камчатского края и краевыми государственными учреждениями, а также переданного в пользование иным юридическим лицам и гражданам;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обеспечение условий для развития в Камчатском крае конкуренции и отраслевого управления.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4. Целью государственной политики в сфере реализации Программы  является повышение эффективности управления государственным имуществом Камчатского края.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8"/>
          <w:szCs w:val="28"/>
          <w:shd w:fill="B4C7DC" w:val="clear"/>
        </w:rPr>
      </w:pPr>
      <w:r>
        <w:rPr>
          <w:sz w:val="28"/>
          <w:szCs w:val="28"/>
          <w:shd w:fill="B4C7DC" w:val="clear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Задачи государственного управления, способы их эффективного решения в соответствующей отрасли экономики и сфере государственного управления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Основные задачи государственного управления в соответствующей сфере при реализации Программы: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повышение механизмов эффективности управления государственным имуществом Камчатского края;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имущественной основы деятельности органов государственной власти Камчатского края и организаций краевой формы собственности;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обеспечение деятельности и выполнение функций органов исполнительной власти Камчатского края, подведомственного учреждения Министерства имущественных и земельных отношений Камчатского края.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задачи решаются в ходе реализации комплексов процессных мероприятий Программы «Проведение комплексных кадастровых работ»; «Формирование оптимального состава и структуры краевого имущества»; «Учет и управление краевым имуществом»; «Содержание жилищного фонда Камчатского края»; «Кадастровая оценка земель и объектов недвижимости на территории Камчатского края».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shd w:fill="auto" w:val="clear"/>
        </w:rPr>
        <w:t xml:space="preserve">Программные мероприятия (результаты) направлены на решение </w:t>
      </w:r>
      <w:r>
        <w:rPr>
          <w:rFonts w:ascii="Times New Roman" w:hAnsi="Times New Roman"/>
          <w:sz w:val="28"/>
          <w:shd w:fill="auto" w:val="clear"/>
        </w:rPr>
        <w:t xml:space="preserve">следующих задач: финансовое </w:t>
      </w:r>
      <w:r>
        <w:rPr>
          <w:rFonts w:ascii="Times New Roman" w:hAnsi="Times New Roman"/>
          <w:sz w:val="28"/>
        </w:rPr>
        <w:t>обеспечение деятельности органов местного самоуправления по проведению комплексных кадастровых работ; реализация государственного имущества Камчатского края, не приносящего доходов в краевой бюджет; выявление излишнего, неиспользуемого, используемого не по назначению имущества; осуществление имущественных и иных прав и законных интересов Камчатского края;  проведение мониторинга в целях выявления непрофильных активов и разработки программ по их отчуждению; обеспечение полноты и актуальности сведений о краевом имуществе, обеспечению государственной регистрации права собственности Камчатского края;  получение максимально возможных доходов за счет эффективного управления и распоряжения краевым имуществом; формирование полной и достоверной информации о границах муниципальных образований в Камчатском крае, границ Камчатского края и внесение сведений о границах в единый государственный реестр недвижимости; обеспечение надлежащей эксплуатации и использованию, улучшению состояния краевого имущества; обеспечение надлежащей эксплуатации и использования жилищного фонда Камчатского края; утверждение результатов кадастровой оценки в отношении объектов недвижимости на территории Камчатского края; определение перечня объектов недвижимого имущества, в отношении которых налоговая база определяется как кадастровая стоимость; постоянное хранению технической документации об объектах технического учета.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4.  Порядок предоставления субсидий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рамках реализации Программы из краевого бюджета</w:t>
      </w: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предоставляются субсидии: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юридическим лицам – государственным унитарным предприятиям Камчатского края, осуществляющим деятельность в сфере эксплуатации нежилого и жилого фонда Камчатского края, в порядке, установленном постановлением Правительства Камчатского края от 05.07.2018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265-П «Об утверждении Порядка предоставления из краевого бюджета субсидии государственному унитарному предприятию Камчатского края «Камчатстройэнергосервис» в целях финансового обеспечения затрат, связанных с эксплуатацией зданий и помещений, находящихся в государственной собственности Камчатского края», в целях достижения результатов к</w:t>
      </w:r>
      <w:r>
        <w:rPr>
          <w:rFonts w:ascii="Times New Roman" w:hAnsi="Times New Roman"/>
          <w:b w:val="false"/>
          <w:sz w:val="28"/>
        </w:rPr>
        <w:t>омплекса процессных мероприятий «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sz w:val="28"/>
          <w:u w:val="none"/>
        </w:rPr>
        <w:t>Учет и управление краевым имуществом</w:t>
      </w:r>
      <w:r>
        <w:rPr>
          <w:rFonts w:ascii="Times New Roman" w:hAnsi="Times New Roman"/>
          <w:b w:val="false"/>
          <w:sz w:val="28"/>
        </w:rPr>
        <w:t>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2) краевому государственному учреждению «Камчатская государственная кадастровая оценка» на иные цели в порядке, установленном приказом Министерства имущественных и земельных отношений Камчатского края от 31.03.2021 № П-5 «Об утверждении Порядка определения объема и условий предоставления субсидий на иные цели краевому государственному учреждению «Камчатская государственная кадастровая оценка», функции и полномочия учредителя в отношении которого осуществляет Министерство имущественных и земельных отношений Камчатского края», в целях достижения результатов комплекса процессных мероприятий «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sz w:val="28"/>
          <w:u w:val="none"/>
        </w:rPr>
        <w:t>Кадастровая оценка земель и объектов недвижимости на территории Камчатского края</w:t>
      </w:r>
      <w:r>
        <w:rPr>
          <w:rFonts w:ascii="Times New Roman" w:hAnsi="Times New Roman"/>
          <w:b w:val="false"/>
          <w:sz w:val="28"/>
        </w:rPr>
        <w:t>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 xml:space="preserve">3) местным бюджетам на финансирование выполнения комплексных кадастровых работ в целях достижения результатов </w:t>
      </w:r>
      <w:r>
        <w:rPr>
          <w:rFonts w:ascii="Times New Roman" w:hAnsi="Times New Roman"/>
          <w:b w:val="false"/>
          <w:color w:val="000000"/>
          <w:sz w:val="28"/>
        </w:rPr>
        <w:t>комплекса процессных мероприятий «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Проведение комплексных кадастровых работ</w:t>
      </w:r>
      <w:r>
        <w:rPr>
          <w:rFonts w:ascii="Times New Roman" w:hAnsi="Times New Roman"/>
          <w:b w:val="false"/>
          <w:color w:val="000000"/>
          <w:sz w:val="28"/>
        </w:rPr>
        <w:t xml:space="preserve">» </w:t>
      </w:r>
      <w:r>
        <w:rPr>
          <w:rFonts w:ascii="Times New Roman" w:hAnsi="Times New Roman"/>
          <w:b w:val="false"/>
          <w:sz w:val="28"/>
        </w:rPr>
        <w:t>в порядке согласно приложению к Программе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Приложение к Программе </w:t>
      </w:r>
    </w:p>
    <w:p>
      <w:pPr>
        <w:pStyle w:val="Normal"/>
        <w:spacing w:lineRule="auto" w:line="240" w:before="0" w:after="0"/>
        <w:ind w:left="0" w:right="0" w:firstLine="5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местным бюджетам в рамках реализации </w:t>
      </w:r>
      <w:r>
        <w:rPr>
          <w:rFonts w:ascii="Times New Roman" w:hAnsi="Times New Roman"/>
          <w:color w:val="000000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b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Проведение комплексных кадастровых работ</w:t>
      </w:r>
      <w:r>
        <w:rPr>
          <w:rFonts w:ascii="Times New Roman" w:hAnsi="Times New Roman"/>
          <w:b w:val="false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Подпрограммы 1 «Повышение эффективности управления краевым имуществом»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</w:t>
      </w:r>
      <w:hyperlink r:id="rId3">
        <w:r>
          <w:rPr>
            <w:rFonts w:ascii="Times New Roman" w:hAnsi="Times New Roman"/>
            <w:sz w:val="28"/>
          </w:rPr>
          <w:t>статьей 139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частью 3 статьи 42.2 Федерального закона от 24.07.2007 № 221-ФЗ «О кадастровой деятельности» (далее – Закон о кадастровой деятельности),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</w:t>
      </w:r>
      <w:hyperlink r:id="rId4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Камчатского края от 27.12.2019 № 566-П (далее в настоящем Порядке – Правила) и регулирует вопросы предоставления и распределения субсидий из краевого бюджета местным бюджетам в рамках реализации </w:t>
      </w:r>
      <w:r>
        <w:rPr>
          <w:rFonts w:ascii="Times New Roman" w:hAnsi="Times New Roman"/>
          <w:color w:val="000000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b w:val="false"/>
          <w:color w:val="000000"/>
          <w:sz w:val="28"/>
        </w:rPr>
        <w:t>«</w:t>
      </w:r>
      <w:r>
        <w:rPr>
          <w:rFonts w:ascii="Times New Roman" w:hAnsi="Times New Roman"/>
          <w:b w:val="false"/>
          <w:i w:val="false"/>
          <w:strike w:val="false"/>
          <w:dstrike w:val="false"/>
          <w:shadow w:val="false"/>
          <w:color w:val="000000"/>
          <w:sz w:val="28"/>
          <w:u w:val="none"/>
        </w:rPr>
        <w:t>Проведение комплексных кадастровых работ</w:t>
      </w:r>
      <w:r>
        <w:rPr>
          <w:rFonts w:ascii="Times New Roman" w:hAnsi="Times New Roman"/>
          <w:b w:val="false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направления (подпрограммы) 1 «Повышение эффективности управления краевым имуществом» (далее в настоящем Порядке – мероприятие).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Субсидии предоставляются из краевого бюджета местным бюджетам на финансирование выполнения комплексных кадастровых работ, предусмотренных Законом о кадастровой деятельности.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Субсидии из краевого бюджета предоставляются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до Министерства имущественных и земельных отношений Камчатского края как получателя средств краевого бюджета (далее – Министерство) на цели, указанные в части 2 настоящего Порядка.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Критериями отбора муниципальных образований в Камчатском крае для предоставления субсидий местным бюджетам на реализацию мероприятия являются: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утвержденных муниципальных программ, содержащих мероприятие по проведению комплексных кадастровых работ;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наличие в отношении объектов недвижимости, указанных в </w:t>
      </w:r>
      <w:hyperlink r:id="rId5">
        <w:r>
          <w:rPr>
            <w:rFonts w:ascii="Times New Roman" w:hAnsi="Times New Roman"/>
            <w:sz w:val="28"/>
          </w:rPr>
          <w:t>части 6 статьи 42.1</w:t>
        </w:r>
      </w:hyperlink>
      <w:r>
        <w:rPr>
          <w:rFonts w:ascii="Times New Roman" w:hAnsi="Times New Roman"/>
          <w:sz w:val="28"/>
        </w:rPr>
        <w:t xml:space="preserve"> Закона о кадастровой деятельности, соответствующих документов в случаях, предусмотренных положениями </w:t>
      </w:r>
      <w:hyperlink r:id="rId6">
        <w:r>
          <w:rPr>
            <w:rFonts w:ascii="Times New Roman" w:hAnsi="Times New Roman"/>
            <w:sz w:val="28"/>
          </w:rPr>
          <w:t>статьи 42.1</w:t>
        </w:r>
      </w:hyperlink>
      <w:r>
        <w:rPr>
          <w:rFonts w:ascii="Times New Roman" w:hAnsi="Times New Roman"/>
          <w:sz w:val="28"/>
        </w:rPr>
        <w:t xml:space="preserve"> Закона о кадастровой деятельности; 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информации об общем количестве объектов недвижимости, расположенных на территориях кадастровых кварталов, в границах которых предлагается проведение комплексных кадастровых работ, а также о прогнозируемом количестве объектов, сведения о которых будут включены в карты-планы территорий, составленные по результатам комплексных кадастровых работ по форме, указанной в извещении Министерства о проведении конкурсного отбора органов местного самоуправления муниципальных образований в Камчатском крае для получения субсидии (далее – Извещение).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предоставления субсидий местным бюджетам являются: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краевого бюджета субсидии;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ответственность за неисполнение предусмотренных указанным соглашением обязательств, и содержащего уровень софинансирования за счет средств краевого бюджета расходного обязательства муниципального образования, выраженный в процентах от объема бюджетных ассигнований на исполнение расходного обязательства муниципального образования, предусмотренных в местном бюджете.  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Уровень софинансирования расходного обязательства муниципального образования за счет средств краевого бюджета определяется в размере 99,9 процентов от объема соответствующего расходного обязательства муниципального образования.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Порядок определения общего объема средств краевого бюджета, ежегодно предусматриваемых на финансирование выполнения комплексных кадастровых работ, распределение этих средств между бюджетами муниципальных образований в Камчатском крае и порядок такого распределения устанавливается законом Камчатского края о краевом бюджете.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общего объема средств краевого бюджета, предусматриваемых на финансирование выполнения комплексных кадастровых работ, и средств, направленных в краевой бюджет в виде субсидий из федерального бюджета, указанных в части 2 статьи 42.2 Закона о кадастровой деятельности, между бюджетами муниципальных районов (муниципальных, городских округов) в Камчатском крае осуществляется по формуле: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Сj = С</w:t>
      </w:r>
      <w:r>
        <w:rPr>
          <w:rFonts w:ascii="Times New Roman" w:hAnsi="Times New Roman"/>
          <w:sz w:val="28"/>
          <w:vertAlign w:val="superscript"/>
        </w:rPr>
        <w:t>общ</w:t>
      </w:r>
      <w:r>
        <w:rPr>
          <w:rFonts w:ascii="Times New Roman" w:hAnsi="Times New Roman"/>
          <w:sz w:val="28"/>
        </w:rPr>
        <w:t xml:space="preserve"> х (N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x УС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)/ </w:t>
      </w:r>
      <w:r>
        <w:rPr/>
      </w:r>
      <m:oMath xmlns:m="http://schemas.openxmlformats.org/officeDocument/2006/math">
        <m:nary>
          <m:naryPr>
            <m:chr m:val="∑"/>
          </m:naryPr>
          <m:sub>
            <m:r>
              <w:rPr>
                <w:rFonts w:ascii="Cambria Math" w:hAnsi="Cambria Math"/>
              </w:rPr>
              <m:t xml:space="preserve">1</m:t>
            </m:r>
          </m:sub>
          <m:sup>
            <m:r>
              <w:rPr>
                <w:rFonts w:ascii="Cambria Math" w:hAnsi="Cambria Math"/>
              </w:rPr>
              <m:t xml:space="preserve">n</m:t>
            </m:r>
          </m:sup>
          <m:e/>
        </m:nary>
      </m:oMath>
      <w:r>
        <w:rPr>
          <w:rFonts w:ascii="Times New Roman" w:hAnsi="Times New Roman"/>
          <w:sz w:val="28"/>
        </w:rPr>
        <w:t xml:space="preserve"> (N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x УС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), где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размер субсидии на финансирование выполнения комплексных кадастровых работ, предоставляемой бюджету j-го муниципального района (муниципального, городского округа) в Камчатском крае, тыс. рублей;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perscript"/>
        </w:rPr>
        <w:t>общ</w:t>
      </w:r>
      <w:r>
        <w:rPr>
          <w:rFonts w:ascii="Times New Roman" w:hAnsi="Times New Roman"/>
          <w:sz w:val="28"/>
        </w:rPr>
        <w:t xml:space="preserve"> – распределяемый между бюджетами муниципальных районов (муниципальных, городских округов) в Камчатском крае общий объем субсидии на финансирование выполнения комплексных кадастровых работ, сформированный за счет средств краевого бюджета и средств, направленных в краевой бюджет в виде субсидий из федерального бюджета;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количество объектов недвижимости, расположенных на территориях кадастровых кварталов, в границах которых предполагается проведение комплексных кадастровых работ, определяемое органами местного самоуправления j-го муниципального района (муниципального, городского округа) в Камчатском крае;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уровень софинансирования расходного обязательства муниципального образования за счет средств краевого бюджета, предусмотренный пунктом 6 настоящего Порядка;</w:t>
      </w:r>
    </w:p>
    <w:p>
      <w:pPr>
        <w:pStyle w:val="Normal"/>
        <w:spacing w:lineRule="auto" w:line="240" w:before="0" w:after="0"/>
        <w:ind w:left="0" w:right="0"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количество муниципальных районов (муниципальных, городских округов) в Камчатском крае, между бюджетами которых распределяется общий объем субсидии на финансирование выполнения комплексных кадастровых работ, представивших документы для предоставления субсидии и прошедших отбор.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Министерство размещает на своей странице на официальном сайте исполнительных органов Камчатского края в сети Интернет Извещение.  В Извещении указываются перечень, формы, сроки представления документов органами местного самоуправления муниципальных образований в Камчатском крае для получения субсидий, а также сроки рассмотрения документов и принятия решения о предоставлении либо об отказе в предоставлении субсидии.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муниципального образования в Камчатском крае (далее – соглашение) в соответствии с типовыми формами соглашений, утвержденными Министерством финансов Камчатского края.</w:t>
      </w:r>
      <w:r>
        <w:rPr/>
        <w:t xml:space="preserve"> </w:t>
      </w:r>
      <w:r>
        <w:rPr>
          <w:rFonts w:ascii="Times New Roman" w:hAnsi="Times New Roman"/>
          <w:sz w:val="28"/>
        </w:rPr>
        <w:t>Дополнительные соглашения к соглашению, предусматривающие внесение в него изменений и его расторжение, заключаются в соответствии с указанными типовыми формами.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о предоставлении субсидии из краевого бюджета местному бюджету за счет средств, поступивших в краевой бюджет в случае софинансирования из федерального бюджета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значения, должно соответствовать требованиям, установленным правилами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999.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Основаниями для отказа в предоставлении субсидии являются: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представление органом местного самоуправления муниципального образования в Камчатском крае документов не в полном объеме, с нарушением сроков или не соответствующих установленной форме;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в представленных органом местного самоуправления муниципального образования в Камчатском крае документах недостоверных сведений;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муниципального образования в Камчатском крае критериям отбора муниципальных образований в Камчатском крае и условиям предоставления субсидий, установленным частями 4 и 5 настоящего Порядка.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краю, на основании заявки органа местного самоуправления муниципального образования в Камчатском крае о перечислении субсидии, представляемой в Министерство по форме, установленной Министерством финансов Камчатского края.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Результатом исполнения расходного обязательства муниципального образования для оценки эффективности использования субсидии является количество объектов недвижимости, сведения о которых включены в карты-планы территорий, составленные по результатам проведения комплексных кадастровых работ по состоянию на 1 января года следующего за отчетным, и представленные в органы кадастрового учета (в том числе объектов недвижимости, сведения о границах которых уточнены, установлены, по которым исправлены реестровые (кадастровые) ошибки в сведениях государственного кадастра недвижимости, а также образованных в ходе проведения комплексных кадастровых работ объектов недвижимости) (расположенных на территории Камчатского края).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Значения результатов использования субсидии устанавливаются соглашением о предоставлении субсидии.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Оценка эффективности использования субсидии осуществляется Министерством на основании сравнения значений результатов использования субсидии, установленных в соглашении, и фактически достигнутых по итогам отчетного года значений результатов использования субсидии, предусмотренных частью 13 настоящего Порядка.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Не использованные по состоянию на 1 января текущего финансового года субсидии, за исключением субсидий,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краевого бюджета в соответствии со статьей 242 Бюджетного кодекса Российской Федерации.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16.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установленными Правилами.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Размер субсидии в текущем и (или) очередном финансовом году может быть сокращен, в случае если к муниципальному образованию применяются меры финансовой ответственности.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 предоставлении субсидий осуществляется Министерством и органами государственного финансового контроля.».</w:t>
      </w:r>
    </w:p>
    <w:sectPr>
      <w:headerReference w:type="default" r:id="rId7"/>
      <w:type w:val="nextPage"/>
      <w:pgSz w:w="11906" w:h="16838"/>
      <w:pgMar w:left="1417" w:right="850" w:gutter="0" w:header="1134" w:top="1560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0" distT="0" distB="0" distL="0" distR="0" simplePos="0" locked="0" layoutInCell="0" allowOverlap="1" relativeHeight="20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effectExtent l="0" t="635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0pt;margin-top:0.05pt;width:11.15pt;height:13.3pt;mso-wrap-style:none;v-text-anchor:middle;mso-position-horizontal:lef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11</w:t>
    </w:r>
    <w:r>
      <w:rPr>
        <w:sz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3">
    <w:name w:val="Heading 3"/>
    <w:qFormat/>
    <w:rPr>
      <w:rFonts w:ascii="XO Thames" w:hAnsi="XO Thames"/>
      <w:b/>
      <w:color w:val="000000"/>
      <w:spacing w:val="0"/>
      <w:sz w:val="26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Style9">
    <w:name w:val="Содержимое таблицы"/>
    <w:link w:val="Style20"/>
    <w:qFormat/>
    <w:rPr/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Footer">
    <w:name w:val="Footer"/>
    <w:qFormat/>
    <w:rPr>
      <w:rFonts w:ascii="Times New Roman" w:hAnsi="Times New Roman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Header">
    <w:name w:val="Header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Caption">
    <w:name w:val="Caption"/>
    <w:qFormat/>
    <w:rPr>
      <w:i/>
      <w:sz w:val="24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List">
    <w:name w:val="List"/>
    <w:basedOn w:val="Textbody"/>
    <w:qFormat/>
    <w:rPr/>
  </w:style>
  <w:style w:type="character" w:styleId="Textbody">
    <w:name w:val="Text body"/>
    <w:link w:val="Textbody1"/>
    <w:qFormat/>
    <w:rPr/>
  </w:style>
  <w:style w:type="character" w:styleId="11">
    <w:name w:val="Основной шрифт абзаца1"/>
    <w:link w:val="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0">
    <w:name w:val="Указатель"/>
    <w:link w:val="Style19"/>
    <w:qFormat/>
    <w:rPr/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Style11">
    <w:name w:val="Колонтитул"/>
    <w:link w:val="Style21"/>
    <w:qFormat/>
    <w:rPr>
      <w:rFonts w:ascii="XO Thames" w:hAnsi="XO Thames"/>
      <w:color w:val="000000"/>
      <w:spacing w:val="0"/>
      <w:sz w:val="20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Style12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12">
    <w:name w:val="Гиперссылка1"/>
    <w:basedOn w:val="11"/>
    <w:link w:val="16"/>
    <w:qFormat/>
    <w:rPr>
      <w:color w:val="0563C1" w:themeColor="hyperlink"/>
      <w:u w:val="single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Style13">
    <w:name w:val="Содержимое врезки"/>
    <w:link w:val="Style25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tyle14">
    <w:name w:val="Заголовок"/>
    <w:link w:val="Style15"/>
    <w:qFormat/>
    <w:rPr>
      <w:rFonts w:ascii="Open Sans" w:hAnsi="Open Sans"/>
      <w:sz w:val="28"/>
    </w:rPr>
  </w:style>
  <w:style w:type="character" w:styleId="13">
    <w:name w:val="Обычный1"/>
    <w:link w:val="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itle">
    <w:name w:val="Title"/>
    <w:qFormat/>
    <w:rPr>
      <w:rFonts w:ascii="XO Thames" w:hAnsi="XO Thames"/>
      <w:b/>
      <w:caps/>
      <w:color w:val="000000"/>
      <w:spacing w:val="0"/>
      <w:sz w:val="40"/>
    </w:rPr>
  </w:style>
  <w:style w:type="character" w:styleId="ConsPlusTitle">
    <w:name w:val="ConsPlusTitle"/>
    <w:link w:val="ConsPlusTitle1"/>
    <w:qFormat/>
    <w:rPr>
      <w:rFonts w:ascii="Arial" w:hAnsi="Arial"/>
      <w:b/>
      <w:color w:val="000000"/>
      <w:spacing w:val="0"/>
      <w:sz w:val="20"/>
    </w:rPr>
  </w:style>
  <w:style w:type="paragraph" w:styleId="Style15">
    <w:name w:val="Заголовок"/>
    <w:basedOn w:val="Normal"/>
    <w:next w:val="Style16"/>
    <w:link w:val="Style14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1"/>
    <w:pPr/>
    <w:rPr/>
  </w:style>
  <w:style w:type="paragraph" w:styleId="Style18">
    <w:name w:val="Caption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Указатель"/>
    <w:basedOn w:val="Normal"/>
    <w:link w:val="Style10"/>
    <w:qFormat/>
    <w:pPr/>
    <w:rPr/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Содержимое таблицы"/>
    <w:basedOn w:val="Normal"/>
    <w:link w:val="Style9"/>
    <w:qFormat/>
    <w:pPr>
      <w:widowControl w:val="false"/>
    </w:pPr>
    <w:rPr/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Колонтитул"/>
    <w:link w:val="Style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Foot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4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extbody1">
    <w:name w:val="Text body"/>
    <w:link w:val="Textbody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Гиперссылка1"/>
    <w:basedOn w:val="14"/>
    <w:link w:val="12"/>
    <w:qFormat/>
    <w:pPr/>
    <w:rPr>
      <w:color w:val="0563C1" w:themeColor="hyperlink"/>
      <w:u w:val="single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Содержимое врезки"/>
    <w:basedOn w:val="Normal"/>
    <w:link w:val="Style13"/>
    <w:qFormat/>
    <w:pPr/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бычный1"/>
    <w:link w:val="1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6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table" w:styleId="Style_62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3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C2D4EAAE65C2ACEEF31515AE0B4450D27F5381FCD2F5580065034E53431C72D376FFCBB8AB4F2C1DB7901ACE835C4FD26CC557C70166A6z8C" TargetMode="External"/><Relationship Id="rId4" Type="http://schemas.openxmlformats.org/officeDocument/2006/relationships/hyperlink" Target="consultantplus://offline/ref=F73AF0C2BDE67BB3D27B968E75476B1AA07CA02601E8882C2C304FA87EE12D98EF05BF63F8089A74F28C6CEC8C9C00891FZ93EA" TargetMode="External"/><Relationship Id="rId5" Type="http://schemas.openxmlformats.org/officeDocument/2006/relationships/hyperlink" Target="consultantplus://offline/ref=FDD24600CD913F3FA4E6D2F76565F7E2B0A2BE0ABB5C3C4EAC987C7D9CC44A79DB71E5843F7264EB6EC89DD84E879F4CDD10D1A3E1C5f8E" TargetMode="External"/><Relationship Id="rId6" Type="http://schemas.openxmlformats.org/officeDocument/2006/relationships/hyperlink" Target="consultantplus://offline/ref=FDD24600CD913F3FA4E6D2F76565F7E2B0A2BE0ABB5C3C4EAC987C7D9CC44A79DB71E58E337364EB6EC89DD84E879F4CDD10D1A3E1C5f8E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Application>LibreOffice/7.4.4.2$Linux_X86_64 LibreOffice_project/40$Build-2</Application>
  <AppVersion>15.0000</AppVersion>
  <Pages>11</Pages>
  <Words>2590</Words>
  <Characters>20118</Characters>
  <CharactersWithSpaces>22657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2023-11-30T13:53:31Z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